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12" w:rsidRPr="003B196B" w:rsidRDefault="001D3A6B" w:rsidP="00055082">
      <w:pPr>
        <w:spacing w:after="0"/>
        <w:ind w:right="-285"/>
      </w:pPr>
      <w:r w:rsidRPr="003B196B">
        <w:t>TECHNICKÉ PODMÍNKY</w:t>
      </w:r>
    </w:p>
    <w:p w:rsidR="00C756FA" w:rsidRPr="003B196B" w:rsidRDefault="00C756FA" w:rsidP="00055082">
      <w:pPr>
        <w:spacing w:after="0"/>
        <w:ind w:right="-285"/>
      </w:pPr>
    </w:p>
    <w:p w:rsidR="005164D9" w:rsidRPr="00CF6918" w:rsidRDefault="005164D9" w:rsidP="00CF6918">
      <w:pPr>
        <w:spacing w:before="120"/>
        <w:ind w:right="-285"/>
        <w:rPr>
          <w:rFonts w:ascii="Gotham Bold" w:hAnsi="Gotham Bold"/>
        </w:rPr>
      </w:pPr>
      <w:r w:rsidRPr="00CF6918">
        <w:rPr>
          <w:rFonts w:ascii="Gotham Bold" w:hAnsi="Gotham Bold"/>
        </w:rPr>
        <w:t>Systém označení podlah</w:t>
      </w:r>
    </w:p>
    <w:p w:rsidR="005164D9" w:rsidRPr="003B196B" w:rsidRDefault="00770DE8" w:rsidP="00055082">
      <w:pPr>
        <w:tabs>
          <w:tab w:val="left" w:pos="720"/>
        </w:tabs>
        <w:ind w:right="-285"/>
        <w:jc w:val="both"/>
      </w:pPr>
      <w:r w:rsidRPr="003B196B">
        <w:t>O</w:t>
      </w:r>
      <w:r w:rsidR="005164D9" w:rsidRPr="003B196B">
        <w:t xml:space="preserve">značení druhu podlahy v místnostech je uvedeno na půdorysech </w:t>
      </w:r>
      <w:r w:rsidR="002B635C" w:rsidRPr="003B196B">
        <w:t xml:space="preserve">jednotlivých podlaží </w:t>
      </w:r>
      <w:r w:rsidR="005164D9" w:rsidRPr="003B196B">
        <w:t xml:space="preserve">v legendě místností </w:t>
      </w:r>
    </w:p>
    <w:p w:rsidR="005164D9" w:rsidRPr="003B196B" w:rsidRDefault="005164D9" w:rsidP="00055082">
      <w:pPr>
        <w:tabs>
          <w:tab w:val="left" w:pos="720"/>
        </w:tabs>
        <w:ind w:right="-285"/>
        <w:jc w:val="both"/>
        <w:rPr>
          <w:szCs w:val="20"/>
        </w:rPr>
      </w:pPr>
      <w:bookmarkStart w:id="0" w:name="_GoBack"/>
      <w:bookmarkEnd w:id="0"/>
    </w:p>
    <w:p w:rsidR="005164D9" w:rsidRPr="00CF6918" w:rsidRDefault="005164D9" w:rsidP="00055082">
      <w:pPr>
        <w:pStyle w:val="Zkladntextodsazen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right="-285"/>
        <w:rPr>
          <w:rFonts w:ascii="Gotham Bold" w:hAnsi="Gotham Bold" w:cs="Arial"/>
          <w:szCs w:val="20"/>
        </w:rPr>
      </w:pPr>
      <w:r w:rsidRPr="00CF6918">
        <w:rPr>
          <w:rFonts w:ascii="Gotham Bold" w:hAnsi="Gotham Bold" w:cs="Arial"/>
          <w:szCs w:val="20"/>
        </w:rPr>
        <w:t>Konstrukce podlah - obecně</w:t>
      </w:r>
    </w:p>
    <w:p w:rsidR="005164D9" w:rsidRDefault="005164D9" w:rsidP="00055082">
      <w:pPr>
        <w:tabs>
          <w:tab w:val="left" w:pos="720"/>
        </w:tabs>
        <w:ind w:right="-285"/>
        <w:jc w:val="both"/>
        <w:rPr>
          <w:szCs w:val="20"/>
        </w:rPr>
      </w:pPr>
    </w:p>
    <w:p w:rsidR="00D8099F" w:rsidRPr="00D8099F" w:rsidRDefault="00D8099F" w:rsidP="00D8099F">
      <w:pPr>
        <w:tabs>
          <w:tab w:val="left" w:pos="720"/>
        </w:tabs>
        <w:spacing w:after="0"/>
        <w:ind w:right="-285"/>
        <w:jc w:val="both"/>
        <w:rPr>
          <w:szCs w:val="20"/>
        </w:rPr>
      </w:pPr>
      <w:r w:rsidRPr="00D8099F">
        <w:rPr>
          <w:szCs w:val="20"/>
        </w:rPr>
        <w:t>Podlahy budou prováděny podle ČSN 744505 a technologických podkladů dodavatele. Nášlapné</w:t>
      </w:r>
    </w:p>
    <w:p w:rsidR="00D8099F" w:rsidRPr="00D8099F" w:rsidRDefault="00D8099F" w:rsidP="00D8099F">
      <w:pPr>
        <w:tabs>
          <w:tab w:val="left" w:pos="720"/>
        </w:tabs>
        <w:spacing w:after="0"/>
        <w:ind w:right="-285"/>
        <w:jc w:val="both"/>
        <w:rPr>
          <w:szCs w:val="20"/>
        </w:rPr>
      </w:pPr>
      <w:r w:rsidRPr="00D8099F">
        <w:rPr>
          <w:szCs w:val="20"/>
        </w:rPr>
        <w:t>vrstvy podlah musí mít součinitel smykového tření 0,3, u místností užívaných veřejností 0,5.</w:t>
      </w:r>
    </w:p>
    <w:p w:rsidR="00D8099F" w:rsidRPr="003B196B" w:rsidRDefault="00D8099F" w:rsidP="00D8099F">
      <w:pPr>
        <w:tabs>
          <w:tab w:val="left" w:pos="720"/>
        </w:tabs>
        <w:spacing w:before="100" w:beforeAutospacing="1" w:after="0"/>
        <w:ind w:right="-285"/>
        <w:jc w:val="both"/>
        <w:rPr>
          <w:szCs w:val="20"/>
        </w:rPr>
      </w:pPr>
      <w:r w:rsidRPr="00D8099F">
        <w:rPr>
          <w:szCs w:val="20"/>
        </w:rPr>
        <w:t>Veškeré použité materiály a výrobky je nutné vzorkovat.</w:t>
      </w:r>
    </w:p>
    <w:p w:rsidR="005164D9" w:rsidRPr="00CF6918" w:rsidRDefault="005164D9" w:rsidP="00CF6918">
      <w:pPr>
        <w:spacing w:before="120"/>
        <w:ind w:right="-285"/>
        <w:rPr>
          <w:rFonts w:ascii="Gotham Bold" w:hAnsi="Gotham Bold"/>
        </w:rPr>
      </w:pPr>
      <w:r w:rsidRPr="00CF6918">
        <w:rPr>
          <w:rFonts w:ascii="Gotham Bold" w:hAnsi="Gotham Bold"/>
        </w:rPr>
        <w:t>Tepelné a zvukové izolace</w:t>
      </w:r>
    </w:p>
    <w:p w:rsidR="005164D9" w:rsidRPr="003B196B" w:rsidRDefault="005164D9" w:rsidP="00CF6918">
      <w:pPr>
        <w:pStyle w:val="Odstavecseseznamem"/>
        <w:numPr>
          <w:ilvl w:val="0"/>
          <w:numId w:val="16"/>
        </w:numPr>
        <w:ind w:right="-285"/>
      </w:pPr>
      <w:r w:rsidRPr="003B196B">
        <w:t>tepelné izolace</w:t>
      </w:r>
      <w:r w:rsidR="004F5C95" w:rsidRPr="003B196B">
        <w:t>/</w:t>
      </w:r>
      <w:r w:rsidRPr="003B196B">
        <w:t>vyrovnávací vrstvy podlah budou z podlahového</w:t>
      </w:r>
      <w:r w:rsidR="00757913">
        <w:t xml:space="preserve"> pěnového polystyrénu EPS 1</w:t>
      </w:r>
      <w:r w:rsidR="00C91BF5">
        <w:t>5</w:t>
      </w:r>
      <w:r w:rsidR="00757913">
        <w:t xml:space="preserve">0 </w:t>
      </w:r>
      <w:r w:rsidRPr="003B196B">
        <w:t>(min.</w:t>
      </w:r>
      <w:r w:rsidR="004F5C95" w:rsidRPr="003B196B">
        <w:t xml:space="preserve"> </w:t>
      </w:r>
      <w:r w:rsidRPr="003B196B">
        <w:t>25kg/m</w:t>
      </w:r>
      <w:r w:rsidRPr="00092243">
        <w:rPr>
          <w:vertAlign w:val="superscript"/>
        </w:rPr>
        <w:t>3</w:t>
      </w:r>
      <w:r w:rsidRPr="003B196B">
        <w:t xml:space="preserve">), u podlah s vyšším zatížením z extrudovaného polystyrénu, v těchto vyrovnávacích podlahových vrstvách budou vedeny </w:t>
      </w:r>
      <w:r w:rsidR="00D8099F">
        <w:t>R</w:t>
      </w:r>
      <w:r w:rsidRPr="003B196B">
        <w:t xml:space="preserve">ozvody UT, ZTI, a v trubkách slaboproudé a silnoproudé rozvody </w:t>
      </w:r>
      <w:r w:rsidR="004F5C95" w:rsidRPr="003B196B">
        <w:t>-</w:t>
      </w:r>
      <w:r w:rsidRPr="003B196B">
        <w:t xml:space="preserve"> viz projekty profesí. </w:t>
      </w:r>
    </w:p>
    <w:p w:rsidR="007446F7" w:rsidRPr="00092243" w:rsidRDefault="005164D9" w:rsidP="00CF6918">
      <w:pPr>
        <w:pStyle w:val="Odstavecseseznamem"/>
        <w:numPr>
          <w:ilvl w:val="0"/>
          <w:numId w:val="16"/>
        </w:numPr>
        <w:ind w:right="-285"/>
      </w:pPr>
      <w:r w:rsidRPr="00092243">
        <w:t xml:space="preserve">izolace proti kročejovému hluku </w:t>
      </w:r>
      <w:r w:rsidR="00AB23DC" w:rsidRPr="00092243">
        <w:t xml:space="preserve">z minerální vaty pro těžké plovoucí podlahy, užitné zatížení 5 </w:t>
      </w:r>
      <w:proofErr w:type="spellStart"/>
      <w:r w:rsidR="00AB23DC" w:rsidRPr="00092243">
        <w:t>kN</w:t>
      </w:r>
      <w:proofErr w:type="spellEnd"/>
      <w:r w:rsidR="00AB23DC" w:rsidRPr="00092243">
        <w:t>/m</w:t>
      </w:r>
      <w:r w:rsidR="00AB23DC" w:rsidRPr="00092243">
        <w:rPr>
          <w:vertAlign w:val="superscript"/>
        </w:rPr>
        <w:t>2</w:t>
      </w:r>
      <w:r w:rsidR="00AB23DC" w:rsidRPr="00092243">
        <w:t>, maximální stlačení 2 mm, dynamická tuhost max. 30 MN/m</w:t>
      </w:r>
      <w:r w:rsidR="00AB23DC" w:rsidRPr="00092243">
        <w:rPr>
          <w:vertAlign w:val="superscript"/>
        </w:rPr>
        <w:t>3</w:t>
      </w:r>
    </w:p>
    <w:p w:rsidR="005164D9" w:rsidRPr="00092243" w:rsidRDefault="00AB23DC" w:rsidP="00092243">
      <w:pPr>
        <w:pStyle w:val="Odstavecseseznamem"/>
        <w:numPr>
          <w:ilvl w:val="0"/>
          <w:numId w:val="16"/>
        </w:numPr>
        <w:ind w:right="-285"/>
      </w:pPr>
      <w:r w:rsidRPr="00092243">
        <w:t xml:space="preserve">podlahovou konstrukci od stěn </w:t>
      </w:r>
      <w:proofErr w:type="spellStart"/>
      <w:r w:rsidRPr="00092243">
        <w:t>oddilatovat</w:t>
      </w:r>
      <w:proofErr w:type="spellEnd"/>
      <w:r w:rsidRPr="00092243">
        <w:t xml:space="preserve"> pásky z minerální vaty </w:t>
      </w:r>
      <w:proofErr w:type="spellStart"/>
      <w:r w:rsidRPr="00092243">
        <w:t>tl</w:t>
      </w:r>
      <w:proofErr w:type="spellEnd"/>
      <w:r w:rsidRPr="00092243">
        <w:t>. 15 mm (tzv. plovoucí podlaha), v kročejové izolaci nesmí být umístěno</w:t>
      </w:r>
      <w:r w:rsidR="007446F7" w:rsidRPr="00092243">
        <w:t xml:space="preserve"> žádné</w:t>
      </w:r>
      <w:r w:rsidRPr="00092243">
        <w:t xml:space="preserve"> vedení!</w:t>
      </w:r>
      <w:r w:rsidR="005164D9" w:rsidRPr="00092243">
        <w:t xml:space="preserve"> Také veškerá prostupující potrubí musí být obalena </w:t>
      </w:r>
      <w:r w:rsidRPr="00092243">
        <w:t xml:space="preserve">páskem izolace </w:t>
      </w:r>
      <w:r w:rsidR="005164D9" w:rsidRPr="00092243">
        <w:t>do úrovně čisté podlahy</w:t>
      </w:r>
    </w:p>
    <w:p w:rsidR="005164D9" w:rsidRPr="00092243" w:rsidRDefault="005164D9" w:rsidP="00CF6918">
      <w:pPr>
        <w:pStyle w:val="Odstavecseseznamem"/>
        <w:numPr>
          <w:ilvl w:val="0"/>
          <w:numId w:val="16"/>
        </w:numPr>
        <w:ind w:right="-285"/>
      </w:pPr>
      <w:r w:rsidRPr="00092243">
        <w:t xml:space="preserve">vrstvy </w:t>
      </w:r>
      <w:r w:rsidR="00AB23DC" w:rsidRPr="00092243">
        <w:t xml:space="preserve">izolace </w:t>
      </w:r>
      <w:r w:rsidRPr="00092243">
        <w:t xml:space="preserve">budou před prováděním </w:t>
      </w:r>
      <w:r w:rsidR="00AB23DC" w:rsidRPr="00092243">
        <w:t xml:space="preserve">lité </w:t>
      </w:r>
      <w:r w:rsidR="002B635C" w:rsidRPr="00092243">
        <w:t xml:space="preserve">samonivelační </w:t>
      </w:r>
      <w:r w:rsidR="00AB23DC" w:rsidRPr="00092243">
        <w:t>vrstvy</w:t>
      </w:r>
      <w:r w:rsidRPr="00092243">
        <w:t xml:space="preserve"> </w:t>
      </w:r>
      <w:r w:rsidR="00AB23DC" w:rsidRPr="00092243">
        <w:t xml:space="preserve">překryty separační </w:t>
      </w:r>
      <w:r w:rsidRPr="00092243">
        <w:t xml:space="preserve">polyetylenovou fólií min. </w:t>
      </w:r>
      <w:proofErr w:type="spellStart"/>
      <w:r w:rsidRPr="00092243">
        <w:t>tl</w:t>
      </w:r>
      <w:proofErr w:type="spellEnd"/>
      <w:r w:rsidRPr="00092243">
        <w:t xml:space="preserve">. </w:t>
      </w:r>
      <w:smartTag w:uri="urn:schemas-microsoft-com:office:smarttags" w:element="metricconverter">
        <w:smartTagPr>
          <w:attr w:name="ProductID" w:val="0,1 mm"/>
        </w:smartTagPr>
        <w:r w:rsidRPr="00092243">
          <w:t>0,1 mm</w:t>
        </w:r>
      </w:smartTag>
      <w:r w:rsidRPr="00092243">
        <w:t xml:space="preserve"> volně položenou se slepenými přesahy </w:t>
      </w:r>
      <w:r w:rsidR="00AB23DC" w:rsidRPr="00092243">
        <w:t xml:space="preserve">min. </w:t>
      </w:r>
      <w:r w:rsidRPr="00092243">
        <w:t>1</w:t>
      </w:r>
      <w:r w:rsidR="00AB23DC" w:rsidRPr="00092243">
        <w:t>5</w:t>
      </w:r>
      <w:r w:rsidRPr="00092243">
        <w:t>0</w:t>
      </w:r>
      <w:r w:rsidR="00092243">
        <w:t> </w:t>
      </w:r>
      <w:r w:rsidRPr="00092243">
        <w:t>mm</w:t>
      </w:r>
    </w:p>
    <w:p w:rsidR="005164D9" w:rsidRPr="003B196B" w:rsidRDefault="005164D9" w:rsidP="00055082">
      <w:pPr>
        <w:ind w:right="-285"/>
      </w:pPr>
    </w:p>
    <w:p w:rsidR="005164D9" w:rsidRPr="00CF6918" w:rsidRDefault="005164D9" w:rsidP="00CF6918">
      <w:pPr>
        <w:spacing w:before="120"/>
        <w:ind w:right="-285"/>
        <w:rPr>
          <w:rFonts w:ascii="Gotham Bold" w:hAnsi="Gotham Bold"/>
        </w:rPr>
      </w:pPr>
      <w:r w:rsidRPr="00CF6918">
        <w:rPr>
          <w:rFonts w:ascii="Gotham Bold" w:hAnsi="Gotham Bold"/>
        </w:rPr>
        <w:t>Konstrukce podlah</w:t>
      </w:r>
    </w:p>
    <w:p w:rsidR="00C21A75" w:rsidRPr="003B196B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 xml:space="preserve">konstrukce podlah nadzemních podlaží budou prováděny </w:t>
      </w:r>
      <w:r w:rsidR="002B635C" w:rsidRPr="003B196B">
        <w:t>ze samonivelační</w:t>
      </w:r>
      <w:r w:rsidR="00561292" w:rsidRPr="003B196B">
        <w:t>ho</w:t>
      </w:r>
      <w:r w:rsidR="002B635C" w:rsidRPr="003B196B">
        <w:t xml:space="preserve"> lité</w:t>
      </w:r>
      <w:r w:rsidR="00561292" w:rsidRPr="003B196B">
        <w:t>ho</w:t>
      </w:r>
      <w:r w:rsidR="002B635C" w:rsidRPr="003B196B">
        <w:t xml:space="preserve"> cementové</w:t>
      </w:r>
      <w:r w:rsidR="00561292" w:rsidRPr="003B196B">
        <w:t>ho</w:t>
      </w:r>
      <w:r w:rsidR="002B635C" w:rsidRPr="003B196B">
        <w:t xml:space="preserve"> po</w:t>
      </w:r>
      <w:r w:rsidR="00561292" w:rsidRPr="003B196B">
        <w:t>těru</w:t>
      </w:r>
      <w:r w:rsidR="002B635C" w:rsidRPr="003B196B">
        <w:t xml:space="preserve"> (pevnost v tlaku 30 </w:t>
      </w:r>
      <w:proofErr w:type="spellStart"/>
      <w:r w:rsidR="002B635C" w:rsidRPr="003B196B">
        <w:t>MPa</w:t>
      </w:r>
      <w:proofErr w:type="spellEnd"/>
      <w:r w:rsidR="002B635C" w:rsidRPr="003B196B">
        <w:t>, m &gt; 80 kg/m</w:t>
      </w:r>
      <w:r w:rsidR="002B635C" w:rsidRPr="00092243">
        <w:t>2</w:t>
      </w:r>
      <w:r w:rsidR="002B635C" w:rsidRPr="003B196B">
        <w:t>), smršťovací spáry po max. 3,0 x 3,0 m</w:t>
      </w:r>
      <w:r w:rsidR="007446F7" w:rsidRPr="003B196B">
        <w:t xml:space="preserve">, v některých případech výztuž potěru kari sítí </w:t>
      </w:r>
    </w:p>
    <w:p w:rsidR="005164D9" w:rsidRPr="003B196B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>před pokládkou tenkovrstvých finálních podlahových vrstev bud</w:t>
      </w:r>
      <w:r w:rsidR="00F2184E" w:rsidRPr="003B196B">
        <w:t>e</w:t>
      </w:r>
      <w:r w:rsidRPr="003B196B">
        <w:t xml:space="preserve"> </w:t>
      </w:r>
      <w:r w:rsidR="00F2184E" w:rsidRPr="003B196B">
        <w:t xml:space="preserve">litá cementová vrstva </w:t>
      </w:r>
      <w:proofErr w:type="spellStart"/>
      <w:r w:rsidR="00F2184E" w:rsidRPr="003B196B">
        <w:t>stěrkována</w:t>
      </w:r>
      <w:proofErr w:type="spellEnd"/>
      <w:r w:rsidR="00F2184E" w:rsidRPr="003B196B">
        <w:t xml:space="preserve"> </w:t>
      </w:r>
      <w:r w:rsidRPr="003B196B">
        <w:t>samonivelačními stěrkami, nebo alternativně bude povrch zbroušen a vysát průmyslovým vysavačem, v ostatních případech obvykle stačí zametení povrchu</w:t>
      </w:r>
    </w:p>
    <w:p w:rsidR="00055B1F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>dilatační celky budou provedeny dle technologických předpisů dodavatele litých potěrů</w:t>
      </w:r>
    </w:p>
    <w:p w:rsidR="005164D9" w:rsidRPr="003B196B" w:rsidRDefault="00092243" w:rsidP="00092243">
      <w:pPr>
        <w:pStyle w:val="Odstavecseseznamem"/>
        <w:numPr>
          <w:ilvl w:val="0"/>
          <w:numId w:val="16"/>
        </w:numPr>
        <w:ind w:right="-285"/>
      </w:pPr>
      <w:r>
        <w:t>p</w:t>
      </w:r>
      <w:r w:rsidR="005164D9" w:rsidRPr="003B196B">
        <w:t>ři výrobě, dopravě a realizaci litých potěrů je třeba postupovat dle technologických pravidel dodavatele potěrů</w:t>
      </w:r>
    </w:p>
    <w:p w:rsidR="005164D9" w:rsidRPr="003B196B" w:rsidRDefault="005164D9" w:rsidP="00092243">
      <w:pPr>
        <w:spacing w:before="120"/>
        <w:ind w:right="-285"/>
        <w:rPr>
          <w:b/>
        </w:rPr>
      </w:pPr>
      <w:r w:rsidRPr="00092243">
        <w:rPr>
          <w:rFonts w:ascii="Gotham Bold" w:hAnsi="Gotham Bold"/>
        </w:rPr>
        <w:t>Dilatace</w:t>
      </w:r>
      <w:r w:rsidRPr="003B196B">
        <w:rPr>
          <w:b/>
        </w:rPr>
        <w:t xml:space="preserve"> </w:t>
      </w:r>
    </w:p>
    <w:p w:rsidR="00BF4EC8" w:rsidRPr="003B196B" w:rsidRDefault="00BF4EC8" w:rsidP="00092243">
      <w:pPr>
        <w:pStyle w:val="Odstavecseseznamem"/>
        <w:numPr>
          <w:ilvl w:val="0"/>
          <w:numId w:val="16"/>
        </w:numPr>
        <w:ind w:right="-285"/>
      </w:pPr>
      <w:r>
        <w:t xml:space="preserve">objektové - </w:t>
      </w:r>
      <w:r w:rsidR="005164D9" w:rsidRPr="003B196B">
        <w:t>dilatační spáry musí probíhat spojitě od nosné konstrukce všemi vrstvami podlahy, budou řešeny zabudovanými kovovými dilatačními profily s pružnou plastovou dilatační vložkou</w:t>
      </w:r>
      <w:r>
        <w:tab/>
      </w:r>
    </w:p>
    <w:p w:rsidR="00092243" w:rsidRDefault="00092243">
      <w:pPr>
        <w:spacing w:after="0"/>
        <w:rPr>
          <w:b/>
        </w:rPr>
      </w:pPr>
      <w:r>
        <w:rPr>
          <w:b/>
        </w:rPr>
        <w:br w:type="page"/>
      </w:r>
    </w:p>
    <w:p w:rsidR="005164D9" w:rsidRPr="00092243" w:rsidRDefault="005164D9" w:rsidP="00092243">
      <w:pPr>
        <w:spacing w:before="120"/>
        <w:ind w:right="-285"/>
        <w:rPr>
          <w:rFonts w:ascii="Gotham Bold" w:hAnsi="Gotham Bold"/>
        </w:rPr>
      </w:pPr>
      <w:r w:rsidRPr="00092243">
        <w:rPr>
          <w:rFonts w:ascii="Gotham Bold" w:hAnsi="Gotham Bold"/>
        </w:rPr>
        <w:lastRenderedPageBreak/>
        <w:t>Poznámky</w:t>
      </w:r>
    </w:p>
    <w:p w:rsidR="005164D9" w:rsidRPr="003B196B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 xml:space="preserve">rovinnost lícových ploch nášlapných vrstev podlah je dána tolerančním limitem zjišťovaným latí </w:t>
      </w:r>
      <w:r w:rsidRPr="009519F5">
        <w:t xml:space="preserve">dlouhou </w:t>
      </w:r>
      <w:smartTag w:uri="urn:schemas-microsoft-com:office:smarttags" w:element="metricconverter">
        <w:smartTagPr>
          <w:attr w:name="ProductID" w:val="2 m"/>
        </w:smartTagPr>
        <w:r w:rsidRPr="009519F5">
          <w:t>2 m</w:t>
        </w:r>
      </w:smartTag>
      <w:r w:rsidRPr="009519F5">
        <w:t xml:space="preserve"> a bude v maximální odchylce </w:t>
      </w:r>
      <w:smartTag w:uri="urn:schemas-microsoft-com:office:smarttags" w:element="metricconverter">
        <w:smartTagPr>
          <w:attr w:name="ProductID" w:val="2 mm"/>
        </w:smartTagPr>
        <w:r w:rsidRPr="009519F5">
          <w:t>2 mm</w:t>
        </w:r>
      </w:smartTag>
    </w:p>
    <w:p w:rsidR="005164D9" w:rsidRPr="003B196B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>prostupy technických a technologických zařízení podlahou, která je součástí požárního stropu</w:t>
      </w:r>
      <w:r w:rsidR="00561292" w:rsidRPr="003B196B">
        <w:t>,</w:t>
      </w:r>
      <w:r w:rsidRPr="003B196B">
        <w:t xml:space="preserve"> musí být utěsněny. Utěsněný prostup musí vykazovat požární odolnost shodnou s požární odolností stropu, požadavky na stupeň hořlavosti hmoty pro utěsnění a na hodnotu požární odolnosti stanoví normy požární bezpečnosti</w:t>
      </w:r>
    </w:p>
    <w:p w:rsidR="005164D9" w:rsidRPr="003B196B" w:rsidRDefault="00092243" w:rsidP="00092243">
      <w:pPr>
        <w:pStyle w:val="Odstavecseseznamem"/>
        <w:numPr>
          <w:ilvl w:val="0"/>
          <w:numId w:val="16"/>
        </w:numPr>
        <w:ind w:right="-285"/>
      </w:pPr>
      <w:r>
        <w:t>p</w:t>
      </w:r>
      <w:r w:rsidR="005164D9" w:rsidRPr="003B196B">
        <w:t xml:space="preserve">řechody různých nášlapných vrstev podlah budou </w:t>
      </w:r>
      <w:r w:rsidR="009519F5">
        <w:t xml:space="preserve">mezi místnostmi </w:t>
      </w:r>
      <w:r w:rsidR="005164D9" w:rsidRPr="003B196B">
        <w:t xml:space="preserve">řešeny nerezovými </w:t>
      </w:r>
      <w:r w:rsidR="00F2184E" w:rsidRPr="003B196B">
        <w:t xml:space="preserve">podlahovými </w:t>
      </w:r>
      <w:r w:rsidR="005164D9" w:rsidRPr="003B196B">
        <w:t>profily dle výběru architekta</w:t>
      </w:r>
      <w:r w:rsidR="00F2184E" w:rsidRPr="003B196B">
        <w:t>, přechod umístěn pod křídlem zavřených dveří</w:t>
      </w:r>
    </w:p>
    <w:p w:rsidR="00B97A26" w:rsidRPr="003B196B" w:rsidRDefault="00B97A26" w:rsidP="00092243">
      <w:pPr>
        <w:pStyle w:val="Odstavecseseznamem"/>
        <w:numPr>
          <w:ilvl w:val="0"/>
          <w:numId w:val="16"/>
        </w:numPr>
        <w:ind w:right="-285"/>
      </w:pPr>
      <w:r w:rsidRPr="00275D53">
        <w:t xml:space="preserve">podlahový sokl na stěně </w:t>
      </w:r>
      <w:r w:rsidR="00275D53">
        <w:t xml:space="preserve">je </w:t>
      </w:r>
      <w:r w:rsidR="00275D53" w:rsidRPr="00275D53">
        <w:t xml:space="preserve">tvořen u podlahy z linolea </w:t>
      </w:r>
      <w:r w:rsidR="009519F5">
        <w:t>na</w:t>
      </w:r>
      <w:r w:rsidR="00275D53" w:rsidRPr="00275D53">
        <w:t xml:space="preserve">lepeným páskem linolea výšky </w:t>
      </w:r>
      <w:r w:rsidR="007021ED" w:rsidRPr="00275D53">
        <w:t>50</w:t>
      </w:r>
      <w:r w:rsidR="00275D53" w:rsidRPr="00275D53">
        <w:t xml:space="preserve"> mm, u </w:t>
      </w:r>
      <w:r w:rsidR="00B333A1">
        <w:t xml:space="preserve">vinylových a </w:t>
      </w:r>
      <w:r w:rsidR="00275D53" w:rsidRPr="00275D53">
        <w:t xml:space="preserve">kobercových povlaků je </w:t>
      </w:r>
      <w:r w:rsidR="00B333A1">
        <w:t>pásek</w:t>
      </w:r>
      <w:r w:rsidR="00275D53" w:rsidRPr="00275D53">
        <w:t xml:space="preserve"> z</w:t>
      </w:r>
      <w:r w:rsidR="00B333A1">
        <w:t>e stejné podlahové krytiny</w:t>
      </w:r>
      <w:r w:rsidR="00275D53" w:rsidRPr="00275D53">
        <w:t> </w:t>
      </w:r>
      <w:r w:rsidR="009519F5">
        <w:t xml:space="preserve">vložen </w:t>
      </w:r>
      <w:r w:rsidR="00275D53" w:rsidRPr="00275D53">
        <w:t>do tvarově stálé obvodové plastové lišty v. 50-60 mm</w:t>
      </w:r>
      <w:r w:rsidR="00275D53">
        <w:t>, stěrkové podlahy mají sokl ze stěrky v. 100 mm</w:t>
      </w:r>
      <w:r w:rsidR="007021ED" w:rsidRPr="003B196B">
        <w:t xml:space="preserve"> </w:t>
      </w:r>
    </w:p>
    <w:p w:rsidR="005164D9" w:rsidRPr="003B196B" w:rsidRDefault="005164D9" w:rsidP="00092243">
      <w:pPr>
        <w:pStyle w:val="Odstavecseseznamem"/>
        <w:numPr>
          <w:ilvl w:val="0"/>
          <w:numId w:val="16"/>
        </w:numPr>
        <w:ind w:right="-285"/>
      </w:pPr>
      <w:r w:rsidRPr="003B196B">
        <w:t xml:space="preserve">barvy nášlapných vrstev podlah dle </w:t>
      </w:r>
      <w:r w:rsidR="00F2184E" w:rsidRPr="003B196B">
        <w:t xml:space="preserve">výběru architekta a </w:t>
      </w:r>
      <w:r w:rsidRPr="003B196B">
        <w:t>odsouhlase</w:t>
      </w:r>
      <w:r w:rsidR="00F2184E" w:rsidRPr="003B196B">
        <w:t xml:space="preserve">ní </w:t>
      </w:r>
      <w:r w:rsidRPr="003B196B">
        <w:t>AD.</w:t>
      </w:r>
    </w:p>
    <w:p w:rsidR="005164D9" w:rsidRPr="003B196B" w:rsidRDefault="005164D9" w:rsidP="00055082">
      <w:pPr>
        <w:pStyle w:val="Zkladntextodsazen"/>
        <w:spacing w:after="0"/>
        <w:ind w:left="360" w:right="-285" w:hanging="180"/>
        <w:jc w:val="both"/>
        <w:rPr>
          <w:rFonts w:ascii="Gotham Book" w:hAnsi="Gotham Book"/>
          <w:szCs w:val="20"/>
        </w:rPr>
      </w:pPr>
    </w:p>
    <w:p w:rsidR="005164D9" w:rsidRPr="00092243" w:rsidRDefault="00561292" w:rsidP="00B5207A">
      <w:pPr>
        <w:pStyle w:val="Zkladntextodsazen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0" w:right="-285"/>
        <w:rPr>
          <w:rFonts w:ascii="Gotham Bold" w:hAnsi="Gotham Bold" w:cs="Arial"/>
          <w:szCs w:val="20"/>
        </w:rPr>
      </w:pPr>
      <w:r w:rsidRPr="00D22BE3">
        <w:rPr>
          <w:rFonts w:ascii="Gotham Bold" w:hAnsi="Gotham Bold" w:cs="Arial"/>
          <w:szCs w:val="20"/>
          <w:highlight w:val="lightGray"/>
        </w:rPr>
        <w:t>P</w:t>
      </w:r>
      <w:r w:rsidR="005164D9" w:rsidRPr="00D22BE3">
        <w:rPr>
          <w:rFonts w:ascii="Gotham Bold" w:hAnsi="Gotham Bold" w:cs="Arial"/>
          <w:szCs w:val="20"/>
          <w:highlight w:val="lightGray"/>
        </w:rPr>
        <w:t>ovlakové krytiny</w:t>
      </w:r>
      <w:r w:rsidR="005164D9" w:rsidRPr="00092243">
        <w:rPr>
          <w:rFonts w:ascii="Gotham Bold" w:hAnsi="Gotham Bold" w:cs="Arial"/>
          <w:szCs w:val="20"/>
        </w:rPr>
        <w:t xml:space="preserve"> </w:t>
      </w:r>
    </w:p>
    <w:p w:rsidR="005164D9" w:rsidRPr="003B196B" w:rsidRDefault="005164D9" w:rsidP="00055082">
      <w:pPr>
        <w:tabs>
          <w:tab w:val="left" w:pos="720"/>
        </w:tabs>
        <w:ind w:right="-285"/>
        <w:jc w:val="both"/>
        <w:rPr>
          <w:szCs w:val="20"/>
        </w:rPr>
      </w:pPr>
    </w:p>
    <w:p w:rsidR="005164D9" w:rsidRPr="00092243" w:rsidRDefault="005164D9" w:rsidP="00092243">
      <w:pPr>
        <w:spacing w:before="120"/>
        <w:ind w:right="-285"/>
        <w:rPr>
          <w:rFonts w:ascii="Gotham Bold" w:hAnsi="Gotham Bold"/>
        </w:rPr>
      </w:pPr>
      <w:r w:rsidRPr="00092243">
        <w:rPr>
          <w:rFonts w:ascii="Gotham Bold" w:hAnsi="Gotham Bold"/>
        </w:rPr>
        <w:t>Linoleum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 xml:space="preserve">přírodní linoleum bez korkové moučky </w:t>
      </w:r>
      <w:proofErr w:type="gramStart"/>
      <w:r w:rsidRPr="00092243">
        <w:rPr>
          <w:szCs w:val="20"/>
        </w:rPr>
        <w:t>ze 100%</w:t>
      </w:r>
      <w:proofErr w:type="gramEnd"/>
      <w:r w:rsidRPr="00092243">
        <w:rPr>
          <w:szCs w:val="20"/>
        </w:rPr>
        <w:t xml:space="preserve"> podílem dřevité moučky, pryskyřice, juty, lněn</w:t>
      </w:r>
      <w:r w:rsidR="00D8099F">
        <w:rPr>
          <w:szCs w:val="20"/>
        </w:rPr>
        <w:t>ého oleje s povrchovou úpravou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povrchová úprava na bázi vodou ředitelné disperze, která je nanesená ve dvou vrstvách, obě vrstvy tvrzené UV zářením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 xml:space="preserve">tloušťka </w:t>
      </w:r>
      <w:smartTag w:uri="urn:schemas-microsoft-com:office:smarttags" w:element="metricconverter">
        <w:smartTagPr>
          <w:attr w:name="ProductID" w:val="2,5 mm"/>
        </w:smartTagPr>
        <w:r w:rsidRPr="00092243">
          <w:rPr>
            <w:szCs w:val="20"/>
          </w:rPr>
          <w:t>2,5 mm</w:t>
        </w:r>
      </w:smartTag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šíře role 2</w:t>
      </w:r>
      <w:r w:rsidR="000065D7">
        <w:rPr>
          <w:szCs w:val="20"/>
        </w:rPr>
        <w:t xml:space="preserve"> </w:t>
      </w:r>
      <w:r w:rsidRPr="00092243">
        <w:rPr>
          <w:szCs w:val="20"/>
        </w:rPr>
        <w:t>m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třídy zátěže 34/43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vhodné na kolečkovou židli s kolečky typu W s měkkou kontaktní plochou dle EN 425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proofErr w:type="spellStart"/>
      <w:r w:rsidRPr="00092243">
        <w:rPr>
          <w:szCs w:val="20"/>
        </w:rPr>
        <w:t>protikluznost</w:t>
      </w:r>
      <w:proofErr w:type="spellEnd"/>
      <w:r w:rsidRPr="00092243">
        <w:rPr>
          <w:szCs w:val="20"/>
        </w:rPr>
        <w:t xml:space="preserve"> dle DIN 51130 je R9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 xml:space="preserve">součinitel smykového tření dle ČSN je </w:t>
      </w:r>
      <w:r w:rsidRPr="00092243">
        <w:rPr>
          <w:rFonts w:ascii="Cambria" w:hAnsi="Cambria" w:cs="Cambria"/>
          <w:szCs w:val="20"/>
        </w:rPr>
        <w:t>µ</w:t>
      </w:r>
      <w:r w:rsidRPr="00092243">
        <w:rPr>
          <w:szCs w:val="20"/>
        </w:rPr>
        <w:t xml:space="preserve"> </w:t>
      </w:r>
      <w:r w:rsidRPr="00092243">
        <w:rPr>
          <w:rFonts w:ascii="Times New Roman" w:hAnsi="Times New Roman" w:cs="Times New Roman"/>
          <w:szCs w:val="20"/>
        </w:rPr>
        <w:t>≥</w:t>
      </w:r>
      <w:r w:rsidRPr="00092243">
        <w:rPr>
          <w:szCs w:val="20"/>
        </w:rPr>
        <w:t xml:space="preserve"> 0,6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 xml:space="preserve">reakce na oheň dle EN 13501-1 je </w:t>
      </w:r>
      <w:proofErr w:type="spellStart"/>
      <w:r w:rsidRPr="00092243">
        <w:rPr>
          <w:szCs w:val="20"/>
        </w:rPr>
        <w:t>C</w:t>
      </w:r>
      <w:r w:rsidRPr="000065D7">
        <w:rPr>
          <w:szCs w:val="20"/>
          <w:vertAlign w:val="subscript"/>
        </w:rPr>
        <w:t>fl</w:t>
      </w:r>
      <w:proofErr w:type="spellEnd"/>
      <w:r w:rsidRPr="00092243">
        <w:rPr>
          <w:szCs w:val="20"/>
        </w:rPr>
        <w:t>–s</w:t>
      </w:r>
      <w:r w:rsidRPr="000065D7">
        <w:rPr>
          <w:szCs w:val="20"/>
          <w:vertAlign w:val="subscript"/>
        </w:rPr>
        <w:t>1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použití vícebarevné svařovací šňůry dodávané výrobcem splývající se vzhledem podlahoviny z důvodu eliminace viditelnosti spojů (</w:t>
      </w:r>
      <w:r w:rsidR="00092BE8" w:rsidRPr="00092243">
        <w:rPr>
          <w:szCs w:val="20"/>
        </w:rPr>
        <w:t>vyrábí-li se k dekoru</w:t>
      </w:r>
      <w:r w:rsidRPr="00092243">
        <w:rPr>
          <w:szCs w:val="20"/>
        </w:rPr>
        <w:t>)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>možnost renova</w:t>
      </w:r>
      <w:r w:rsidR="00D8099F">
        <w:rPr>
          <w:szCs w:val="20"/>
        </w:rPr>
        <w:t xml:space="preserve">ce povrchové úpravy </w:t>
      </w:r>
      <w:r w:rsidRPr="00092243">
        <w:rPr>
          <w:szCs w:val="20"/>
        </w:rPr>
        <w:t xml:space="preserve">při jejím případném poškození </w:t>
      </w:r>
    </w:p>
    <w:p w:rsidR="007021ED" w:rsidRPr="00092243" w:rsidRDefault="007021ED" w:rsidP="00092243">
      <w:pPr>
        <w:pStyle w:val="Odstavecseseznamem"/>
        <w:numPr>
          <w:ilvl w:val="0"/>
          <w:numId w:val="16"/>
        </w:numPr>
        <w:spacing w:before="60" w:after="60"/>
        <w:ind w:right="-285"/>
        <w:rPr>
          <w:szCs w:val="20"/>
        </w:rPr>
      </w:pPr>
      <w:r w:rsidRPr="00092243">
        <w:rPr>
          <w:szCs w:val="20"/>
        </w:rPr>
        <w:t xml:space="preserve">jednotlivé dekory jsou tvořeny více základními barvami </w:t>
      </w:r>
    </w:p>
    <w:p w:rsidR="007021ED" w:rsidRDefault="00A353F8" w:rsidP="00D8099F">
      <w:pPr>
        <w:pStyle w:val="Odstavecseseznamem"/>
        <w:numPr>
          <w:ilvl w:val="0"/>
          <w:numId w:val="16"/>
        </w:numPr>
        <w:spacing w:before="60"/>
        <w:ind w:right="-285"/>
        <w:rPr>
          <w:szCs w:val="20"/>
        </w:rPr>
      </w:pPr>
      <w:r w:rsidRPr="00092243">
        <w:rPr>
          <w:szCs w:val="20"/>
        </w:rPr>
        <w:t>linoleum lepeno celoplošně k podkladu vhodným lepidlem</w:t>
      </w:r>
    </w:p>
    <w:p w:rsidR="00D8099F" w:rsidRPr="00092243" w:rsidRDefault="00D8099F" w:rsidP="00092243">
      <w:pPr>
        <w:pStyle w:val="Odstavecseseznamem"/>
        <w:numPr>
          <w:ilvl w:val="0"/>
          <w:numId w:val="16"/>
        </w:numPr>
        <w:spacing w:before="60" w:after="240"/>
        <w:ind w:right="-285"/>
        <w:rPr>
          <w:szCs w:val="20"/>
        </w:rPr>
      </w:pPr>
      <w:r>
        <w:rPr>
          <w:szCs w:val="20"/>
        </w:rPr>
        <w:t>odstín dle výběru architekta</w:t>
      </w:r>
    </w:p>
    <w:p w:rsidR="00E2009F" w:rsidRPr="00092243" w:rsidRDefault="00E2315D" w:rsidP="00092243">
      <w:pPr>
        <w:spacing w:before="240"/>
        <w:ind w:right="-285"/>
        <w:rPr>
          <w:rFonts w:ascii="Gotham Bold" w:hAnsi="Gotham Bold"/>
        </w:rPr>
      </w:pPr>
      <w:r w:rsidRPr="00D21934">
        <w:rPr>
          <w:rFonts w:ascii="Gotham Bold" w:hAnsi="Gotham Bold"/>
        </w:rPr>
        <w:t>Jemná čisticí zóna</w:t>
      </w:r>
      <w:r w:rsidR="00D21934" w:rsidRPr="00D21934">
        <w:rPr>
          <w:rFonts w:ascii="Gotham Bold" w:hAnsi="Gotham Bold"/>
        </w:rPr>
        <w:t xml:space="preserve"> (interiér)</w:t>
      </w:r>
    </w:p>
    <w:p w:rsidR="00D21934" w:rsidRPr="00D21934" w:rsidRDefault="00D21934" w:rsidP="00D21934">
      <w:pPr>
        <w:pStyle w:val="Odstavecseseznamem"/>
        <w:spacing w:after="60"/>
        <w:ind w:left="1065" w:right="-285" w:firstLine="0"/>
        <w:rPr>
          <w:szCs w:val="20"/>
        </w:rPr>
      </w:pP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kobercová čistící zóna v rolích složena z kombinace tří typů vláken zajišťujících maximální zachycení nečistot, seškrábání nečistot a absorpce vlhkosti z obuvi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konstrukce materiálu vpichované střižené vlákno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vlákno 100% Polyamide – zajišťuje možnost efektivního vyčištění protože nezadržuje nečistoty ani pachy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proofErr w:type="spellStart"/>
      <w:r w:rsidRPr="00D21934">
        <w:rPr>
          <w:szCs w:val="20"/>
        </w:rPr>
        <w:t>Indoor</w:t>
      </w:r>
      <w:proofErr w:type="spellEnd"/>
      <w:r w:rsidRPr="00D21934">
        <w:rPr>
          <w:szCs w:val="20"/>
        </w:rPr>
        <w:t xml:space="preserve"> air </w:t>
      </w:r>
      <w:proofErr w:type="spellStart"/>
      <w:r w:rsidRPr="00D21934">
        <w:rPr>
          <w:szCs w:val="20"/>
        </w:rPr>
        <w:t>comfort</w:t>
      </w:r>
      <w:proofErr w:type="spellEnd"/>
      <w:r w:rsidRPr="00D21934">
        <w:rPr>
          <w:szCs w:val="20"/>
        </w:rPr>
        <w:t xml:space="preserve"> - Gold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celková tloušťka materiálu cca 9 mm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délka vlákna cca 7 mm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celková hmotnost cca 4050 g/m2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hmotnost vlákna cca 920 g/m2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počet vpichů 58000 m2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 xml:space="preserve">zadní strana materiál </w:t>
      </w:r>
      <w:proofErr w:type="spellStart"/>
      <w:r w:rsidRPr="00D21934">
        <w:rPr>
          <w:szCs w:val="20"/>
        </w:rPr>
        <w:t>Everfort</w:t>
      </w:r>
      <w:proofErr w:type="spellEnd"/>
      <w:r w:rsidRPr="00D21934">
        <w:rPr>
          <w:szCs w:val="20"/>
        </w:rPr>
        <w:t xml:space="preserve"> vinyl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šířka role 100cm, 150cm, 200 cm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 xml:space="preserve">reakce na oheň dle EN 13 501-1 je </w:t>
      </w:r>
      <w:proofErr w:type="spellStart"/>
      <w:r w:rsidRPr="00D21934">
        <w:rPr>
          <w:szCs w:val="20"/>
        </w:rPr>
        <w:t>Bfl</w:t>
      </w:r>
      <w:proofErr w:type="spellEnd"/>
      <w:r w:rsidRPr="00D21934">
        <w:rPr>
          <w:szCs w:val="20"/>
        </w:rPr>
        <w:t xml:space="preserve"> – S1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oblast použití – vysoká komerční zátěž</w:t>
      </w:r>
    </w:p>
    <w:p w:rsidR="00D21934" w:rsidRPr="00D21934" w:rsidRDefault="00D21934" w:rsidP="00D21934">
      <w:pPr>
        <w:pStyle w:val="Odstavecseseznamem"/>
        <w:numPr>
          <w:ilvl w:val="0"/>
          <w:numId w:val="16"/>
        </w:numPr>
        <w:spacing w:after="60"/>
        <w:ind w:right="-285"/>
        <w:rPr>
          <w:szCs w:val="20"/>
        </w:rPr>
      </w:pPr>
      <w:r w:rsidRPr="00D21934">
        <w:rPr>
          <w:szCs w:val="20"/>
        </w:rPr>
        <w:t>čistící zóna musí být lepena k podkladu vhodným lepidlem</w:t>
      </w:r>
    </w:p>
    <w:p w:rsidR="005164D9" w:rsidRPr="003D664D" w:rsidRDefault="005164D9" w:rsidP="003D664D">
      <w:pPr>
        <w:spacing w:before="240"/>
        <w:ind w:right="-285"/>
        <w:rPr>
          <w:rFonts w:ascii="Gotham Bold" w:hAnsi="Gotham Bold"/>
        </w:rPr>
      </w:pPr>
      <w:r w:rsidRPr="003D664D">
        <w:rPr>
          <w:rFonts w:ascii="Gotham Bold" w:hAnsi="Gotham Bold"/>
        </w:rPr>
        <w:t xml:space="preserve">Stěrka </w:t>
      </w:r>
      <w:r w:rsidR="004F6321" w:rsidRPr="003D664D">
        <w:rPr>
          <w:rFonts w:ascii="Gotham Bold" w:hAnsi="Gotham Bold"/>
        </w:rPr>
        <w:t>v technických místnostech</w:t>
      </w:r>
    </w:p>
    <w:p w:rsidR="004F6321" w:rsidRPr="003B196B" w:rsidRDefault="00D348FF" w:rsidP="00055082">
      <w:pPr>
        <w:ind w:right="-285"/>
      </w:pPr>
      <w:r w:rsidRPr="003B196B">
        <w:t>L</w:t>
      </w:r>
      <w:r w:rsidR="004F6321" w:rsidRPr="003B196B">
        <w:t xml:space="preserve">itá </w:t>
      </w:r>
      <w:r w:rsidR="005164D9" w:rsidRPr="003B196B">
        <w:t xml:space="preserve">epoxidová samonivelační stěrka </w:t>
      </w:r>
      <w:r w:rsidR="00C21A75" w:rsidRPr="003B196B">
        <w:t xml:space="preserve">chemicky a mechanicky odolná, </w:t>
      </w:r>
      <w:r w:rsidR="004F6321" w:rsidRPr="003B196B">
        <w:t>v celkové tloušťce 2</w:t>
      </w:r>
      <w:r w:rsidR="003D664D">
        <w:t> </w:t>
      </w:r>
      <w:r w:rsidR="004F6321" w:rsidRPr="003B196B">
        <w:t>–</w:t>
      </w:r>
      <w:r w:rsidR="003D664D">
        <w:t> </w:t>
      </w:r>
      <w:r w:rsidR="004F6321" w:rsidRPr="003B196B">
        <w:t>4</w:t>
      </w:r>
      <w:r w:rsidR="003D664D">
        <w:t> </w:t>
      </w:r>
      <w:r w:rsidR="004F6321" w:rsidRPr="003B196B">
        <w:t xml:space="preserve">mm, </w:t>
      </w:r>
      <w:r w:rsidR="00C21A75" w:rsidRPr="003B196B">
        <w:t xml:space="preserve">vodotěsná, s protiskluzovou úpravou vsypem z křemičitého písku, </w:t>
      </w:r>
      <w:r w:rsidR="003C7DEE">
        <w:rPr>
          <w:color w:val="404040"/>
        </w:rPr>
        <w:t xml:space="preserve">součinitel smykového tření </w:t>
      </w:r>
      <w:r w:rsidR="003C7DEE">
        <w:rPr>
          <w:color w:val="404040"/>
          <w:lang w:val="en-US"/>
        </w:rPr>
        <w:t>&gt; 0,5</w:t>
      </w:r>
      <w:r w:rsidR="003C7DEE">
        <w:rPr>
          <w:color w:val="404040"/>
        </w:rPr>
        <w:t xml:space="preserve">; </w:t>
      </w:r>
      <w:r w:rsidR="005164D9" w:rsidRPr="003B196B">
        <w:t>včetně penetrace podkladu</w:t>
      </w:r>
      <w:r w:rsidR="00C21A75" w:rsidRPr="003B196B">
        <w:t xml:space="preserve">, </w:t>
      </w:r>
      <w:r w:rsidR="00D53B89">
        <w:t xml:space="preserve">podklad samonivelační cementová tenkovrstvá stěrka, </w:t>
      </w:r>
      <w:r w:rsidR="004F6321" w:rsidRPr="003B196B">
        <w:t>pevnost  v tlaku 50 N/mm2, pevnost v ohybu 20 N/mm2, tvrdost min. 76, odolnost v </w:t>
      </w:r>
      <w:proofErr w:type="spellStart"/>
      <w:r w:rsidR="004F6321" w:rsidRPr="003B196B">
        <w:t>obrusu</w:t>
      </w:r>
      <w:proofErr w:type="spellEnd"/>
      <w:r w:rsidR="004F6321" w:rsidRPr="003B196B">
        <w:t xml:space="preserve"> 70mg, trvalá teplotní odolnost +</w:t>
      </w:r>
      <w:r w:rsidR="004F6321" w:rsidRPr="00152D7E">
        <w:t>50 C, třída</w:t>
      </w:r>
      <w:r w:rsidR="004F6321" w:rsidRPr="003B196B">
        <w:t xml:space="preserve"> reakce na oheň </w:t>
      </w:r>
      <w:proofErr w:type="spellStart"/>
      <w:r w:rsidR="004F6321" w:rsidRPr="003B196B">
        <w:t>B</w:t>
      </w:r>
      <w:r w:rsidR="004F6321" w:rsidRPr="001822A7">
        <w:rPr>
          <w:vertAlign w:val="subscript"/>
        </w:rPr>
        <w:t>fl</w:t>
      </w:r>
      <w:proofErr w:type="spellEnd"/>
      <w:r w:rsidR="001822A7">
        <w:t>–</w:t>
      </w:r>
      <w:r w:rsidR="004F6321" w:rsidRPr="003B196B">
        <w:t>s</w:t>
      </w:r>
      <w:r w:rsidR="004F6321" w:rsidRPr="001822A7">
        <w:rPr>
          <w:vertAlign w:val="subscript"/>
        </w:rPr>
        <w:t>1</w:t>
      </w:r>
      <w:r w:rsidR="004F6321" w:rsidRPr="003B196B">
        <w:t>, odolnost vůči chemikáliím, zaoblený přechod na stěnu do v. 150 mm, barevný odstín bude vybrán při vzorkování</w:t>
      </w:r>
    </w:p>
    <w:p w:rsidR="00E2315D" w:rsidRPr="003D664D" w:rsidRDefault="00E2315D" w:rsidP="003D664D">
      <w:pPr>
        <w:spacing w:before="240"/>
        <w:ind w:right="-285"/>
        <w:rPr>
          <w:rFonts w:ascii="Gotham Bold" w:hAnsi="Gotham Bold"/>
        </w:rPr>
      </w:pPr>
      <w:r w:rsidRPr="003D664D">
        <w:rPr>
          <w:rFonts w:ascii="Gotham Bold" w:hAnsi="Gotham Bold"/>
        </w:rPr>
        <w:t>Stěrka</w:t>
      </w:r>
      <w:r w:rsidR="004F6321" w:rsidRPr="003D664D">
        <w:rPr>
          <w:rFonts w:ascii="Gotham Bold" w:hAnsi="Gotham Bold"/>
        </w:rPr>
        <w:t xml:space="preserve"> v hygienických zařízeních</w:t>
      </w:r>
    </w:p>
    <w:p w:rsidR="003C7DEE" w:rsidRPr="003C7DEE" w:rsidRDefault="002D3172" w:rsidP="00055082">
      <w:pPr>
        <w:ind w:right="-285"/>
        <w:rPr>
          <w:rFonts w:ascii="Calibri" w:hAnsi="Calibri" w:cs="Times New Roman"/>
          <w:lang w:val="en-US"/>
        </w:rPr>
      </w:pPr>
      <w:r w:rsidRPr="003B196B">
        <w:t xml:space="preserve">Litá samonivelační vysoce pigmentovaná </w:t>
      </w:r>
      <w:r w:rsidR="007F1F71" w:rsidRPr="003B196B">
        <w:t>stěrka</w:t>
      </w:r>
      <w:r w:rsidR="00996C67">
        <w:t xml:space="preserve"> (na bází dvousložkové epoxidové pryskyřice)</w:t>
      </w:r>
      <w:r w:rsidRPr="003B196B">
        <w:t xml:space="preserve">, vodotěsná, </w:t>
      </w:r>
      <w:r w:rsidR="007F1F71" w:rsidRPr="003B196B">
        <w:t>v </w:t>
      </w:r>
      <w:proofErr w:type="spellStart"/>
      <w:r w:rsidR="007F1F71" w:rsidRPr="003B196B">
        <w:t>tl</w:t>
      </w:r>
      <w:proofErr w:type="spellEnd"/>
      <w:r w:rsidR="007F1F71" w:rsidRPr="003B196B">
        <w:t xml:space="preserve">. </w:t>
      </w:r>
      <w:r w:rsidR="00390396" w:rsidRPr="003B196B">
        <w:t>2 - 4</w:t>
      </w:r>
      <w:r w:rsidR="007F1F71" w:rsidRPr="003B196B">
        <w:t xml:space="preserve"> </w:t>
      </w:r>
      <w:r w:rsidR="007F1F71" w:rsidRPr="003C7DEE">
        <w:t xml:space="preserve">mm </w:t>
      </w:r>
      <w:r w:rsidRPr="003C7DEE">
        <w:t xml:space="preserve">odolná chemikáliím, </w:t>
      </w:r>
      <w:r w:rsidR="003C7DEE" w:rsidRPr="003C7DEE">
        <w:t xml:space="preserve">součinitel smykového tření </w:t>
      </w:r>
      <w:r w:rsidR="003C7DEE" w:rsidRPr="003C7DEE">
        <w:rPr>
          <w:lang w:val="en-US"/>
        </w:rPr>
        <w:t>&gt; 0,5</w:t>
      </w:r>
    </w:p>
    <w:p w:rsidR="00996C67" w:rsidRPr="003B196B" w:rsidRDefault="007F1F71" w:rsidP="00055082">
      <w:pPr>
        <w:ind w:right="-285"/>
        <w:rPr>
          <w:b/>
        </w:rPr>
      </w:pPr>
      <w:r w:rsidRPr="003B196B">
        <w:t xml:space="preserve">reakce na oheň </w:t>
      </w:r>
      <w:proofErr w:type="spellStart"/>
      <w:r w:rsidRPr="003B196B">
        <w:t>B</w:t>
      </w:r>
      <w:r w:rsidRPr="001822A7">
        <w:rPr>
          <w:vertAlign w:val="subscript"/>
        </w:rPr>
        <w:t>fl</w:t>
      </w:r>
      <w:proofErr w:type="spellEnd"/>
      <w:r w:rsidR="00390396" w:rsidRPr="003B196B">
        <w:t xml:space="preserve">, trvalá teplotní odolnost +50 C, </w:t>
      </w:r>
      <w:r w:rsidR="002D3172" w:rsidRPr="003B196B">
        <w:t>stálobarevná, pololesklá,</w:t>
      </w:r>
      <w:r w:rsidRPr="003B196B">
        <w:t xml:space="preserve"> </w:t>
      </w:r>
      <w:proofErr w:type="spellStart"/>
      <w:r w:rsidR="00996C67">
        <w:t>oddilatovaná</w:t>
      </w:r>
      <w:proofErr w:type="spellEnd"/>
      <w:r w:rsidR="00996C67">
        <w:t xml:space="preserve"> od obkladu stěny, </w:t>
      </w:r>
      <w:r w:rsidRPr="003B196B">
        <w:t>včetně penetrace podkladu</w:t>
      </w:r>
      <w:r w:rsidR="00390396" w:rsidRPr="003B196B">
        <w:t xml:space="preserve">, </w:t>
      </w:r>
      <w:r w:rsidR="00D53B89">
        <w:t xml:space="preserve">podklad samonivelační cementová tenkovrstvá stěrka, </w:t>
      </w:r>
      <w:r w:rsidR="00996C67" w:rsidRPr="003B196B">
        <w:t>bez soklu na stěně – stěny jsou obloženy keramickým obkladem</w:t>
      </w:r>
    </w:p>
    <w:p w:rsidR="00390396" w:rsidRPr="003B196B" w:rsidRDefault="00390396" w:rsidP="00055082">
      <w:pPr>
        <w:ind w:right="-285"/>
      </w:pPr>
      <w:r w:rsidRPr="003B196B">
        <w:t xml:space="preserve">barevný odstín bude vybrán při vzorkování </w:t>
      </w:r>
    </w:p>
    <w:p w:rsidR="005164D9" w:rsidRPr="003D664D" w:rsidRDefault="007446F7" w:rsidP="003D664D">
      <w:pPr>
        <w:spacing w:before="240"/>
        <w:ind w:right="-285"/>
        <w:rPr>
          <w:rFonts w:ascii="Gotham Bold" w:hAnsi="Gotham Bold"/>
        </w:rPr>
      </w:pPr>
      <w:r w:rsidRPr="003D664D">
        <w:rPr>
          <w:rFonts w:ascii="Gotham Bold" w:hAnsi="Gotham Bold"/>
        </w:rPr>
        <w:t>N</w:t>
      </w:r>
      <w:r w:rsidR="005164D9" w:rsidRPr="003D664D">
        <w:rPr>
          <w:rFonts w:ascii="Gotham Bold" w:hAnsi="Gotham Bold"/>
        </w:rPr>
        <w:t>átěry</w:t>
      </w:r>
    </w:p>
    <w:p w:rsidR="00E2315D" w:rsidRPr="003D664D" w:rsidRDefault="00E2315D" w:rsidP="003D664D">
      <w:pPr>
        <w:pStyle w:val="Odstavecseseznamem"/>
        <w:numPr>
          <w:ilvl w:val="0"/>
          <w:numId w:val="21"/>
        </w:numPr>
        <w:ind w:right="-285"/>
        <w:rPr>
          <w:sz w:val="24"/>
        </w:rPr>
      </w:pPr>
      <w:r w:rsidRPr="003D664D">
        <w:rPr>
          <w:szCs w:val="20"/>
        </w:rPr>
        <w:t xml:space="preserve">Protiprašný uzavírací nátěr na beton pod konstrukcí </w:t>
      </w:r>
      <w:r w:rsidR="00AB073C">
        <w:rPr>
          <w:szCs w:val="20"/>
        </w:rPr>
        <w:t>zdvojených</w:t>
      </w:r>
      <w:r w:rsidRPr="003D664D">
        <w:rPr>
          <w:szCs w:val="20"/>
        </w:rPr>
        <w:t xml:space="preserve"> podlah</w:t>
      </w:r>
    </w:p>
    <w:p w:rsidR="005164D9" w:rsidRDefault="00DE2A5F" w:rsidP="003D664D">
      <w:pPr>
        <w:pStyle w:val="Odstavecseseznamem"/>
        <w:numPr>
          <w:ilvl w:val="0"/>
          <w:numId w:val="21"/>
        </w:numPr>
        <w:ind w:right="-285"/>
      </w:pPr>
      <w:r w:rsidRPr="003B196B">
        <w:t xml:space="preserve">Protiprašný </w:t>
      </w:r>
      <w:r w:rsidR="005164D9" w:rsidRPr="003B196B">
        <w:t>nátěr</w:t>
      </w:r>
      <w:r w:rsidR="00B33932">
        <w:t xml:space="preserve"> </w:t>
      </w:r>
      <w:r w:rsidR="005164D9" w:rsidRPr="003B196B">
        <w:t>odolný olejům</w:t>
      </w:r>
      <w:r w:rsidRPr="003B196B">
        <w:t xml:space="preserve"> ve výtahových prohlubních</w:t>
      </w:r>
    </w:p>
    <w:p w:rsidR="00575436" w:rsidRPr="00575436" w:rsidRDefault="00575436" w:rsidP="00575436">
      <w:pPr>
        <w:spacing w:before="360"/>
        <w:ind w:right="-285"/>
        <w:rPr>
          <w:rFonts w:ascii="Gotham Bold" w:hAnsi="Gotham Bold"/>
        </w:rPr>
      </w:pPr>
      <w:r>
        <w:rPr>
          <w:rFonts w:ascii="Gotham Bold" w:hAnsi="Gotham Bold"/>
        </w:rPr>
        <w:t xml:space="preserve">Stěrkový systém odolný </w:t>
      </w:r>
      <w:r w:rsidRPr="00575436">
        <w:rPr>
          <w:rFonts w:ascii="Gotham Bold" w:hAnsi="Gotham Bold"/>
        </w:rPr>
        <w:t>tekutému dusíku o teplotě -190°C</w:t>
      </w:r>
    </w:p>
    <w:p w:rsidR="00575436" w:rsidRDefault="00575436" w:rsidP="00575436">
      <w:pPr>
        <w:spacing w:after="60"/>
        <w:ind w:right="-285"/>
      </w:pPr>
      <w:r>
        <w:t>- odolný tekutému dusíku o teplotě -190°C</w:t>
      </w:r>
    </w:p>
    <w:p w:rsidR="00575436" w:rsidRDefault="00575436" w:rsidP="00575436">
      <w:pPr>
        <w:spacing w:after="60"/>
        <w:ind w:right="-285"/>
      </w:pPr>
      <w:r>
        <w:t>- vysoce chemicky odolný</w:t>
      </w:r>
    </w:p>
    <w:p w:rsidR="00575436" w:rsidRDefault="00575436" w:rsidP="00575436">
      <w:pPr>
        <w:spacing w:after="60"/>
        <w:ind w:right="-285"/>
      </w:pPr>
      <w:r>
        <w:t>- odolný zatížení 2000 kg/m2</w:t>
      </w:r>
    </w:p>
    <w:p w:rsidR="00575436" w:rsidRDefault="00575436" w:rsidP="00575436">
      <w:pPr>
        <w:spacing w:after="60"/>
        <w:ind w:right="-285"/>
      </w:pPr>
      <w:r>
        <w:t xml:space="preserve">- </w:t>
      </w:r>
      <w:proofErr w:type="spellStart"/>
      <w:r>
        <w:t>v</w:t>
      </w:r>
      <w:r>
        <w:t>o</w:t>
      </w:r>
      <w:r>
        <w:t>donepropustný</w:t>
      </w:r>
      <w:proofErr w:type="spellEnd"/>
    </w:p>
    <w:p w:rsidR="00575436" w:rsidRDefault="00575436" w:rsidP="00575436">
      <w:pPr>
        <w:spacing w:after="60"/>
        <w:ind w:right="-285"/>
      </w:pPr>
      <w:r>
        <w:t>- antibakteriální</w:t>
      </w:r>
    </w:p>
    <w:p w:rsidR="00575436" w:rsidRDefault="00575436" w:rsidP="00575436">
      <w:pPr>
        <w:spacing w:after="60"/>
        <w:ind w:right="-285"/>
      </w:pPr>
      <w:r>
        <w:t>- barevná stálost při nasvícení germicidní lampou</w:t>
      </w:r>
    </w:p>
    <w:p w:rsidR="00575436" w:rsidRDefault="00575436">
      <w:pPr>
        <w:spacing w:after="0"/>
      </w:pPr>
      <w:r>
        <w:br w:type="page"/>
      </w:r>
    </w:p>
    <w:p w:rsidR="00575436" w:rsidRDefault="00575436" w:rsidP="00575436">
      <w:pPr>
        <w:spacing w:before="240"/>
        <w:ind w:right="-285"/>
      </w:pPr>
      <w:r>
        <w:t>Stěrkový systém skládající se z:</w:t>
      </w:r>
    </w:p>
    <w:p w:rsidR="00575436" w:rsidRPr="00575436" w:rsidRDefault="00575436" w:rsidP="00575436">
      <w:pPr>
        <w:ind w:right="-285"/>
        <w:rPr>
          <w:u w:val="single"/>
        </w:rPr>
      </w:pPr>
      <w:r w:rsidRPr="00575436">
        <w:rPr>
          <w:u w:val="single"/>
        </w:rPr>
        <w:t>Finální lak</w:t>
      </w:r>
    </w:p>
    <w:p w:rsidR="00575436" w:rsidRDefault="00575436" w:rsidP="00575436">
      <w:pPr>
        <w:ind w:right="-285"/>
      </w:pPr>
      <w:r>
        <w:t>Dvousložkový polyuretan - matný nátěr, příznivý k životnímu prostředí, s nízkým obsahem emisí,</w:t>
      </w:r>
      <w:r>
        <w:t xml:space="preserve"> </w:t>
      </w:r>
      <w:r>
        <w:t>pigmentovaný a odolný vůči světlu, antibakteriá</w:t>
      </w:r>
      <w:r>
        <w:t xml:space="preserve">lní, otestován a schválen </w:t>
      </w:r>
      <w:proofErr w:type="spellStart"/>
      <w:r>
        <w:t>AgBB</w:t>
      </w:r>
      <w:proofErr w:type="spellEnd"/>
      <w:r>
        <w:t>.</w:t>
      </w:r>
    </w:p>
    <w:p w:rsidR="00575436" w:rsidRPr="00575436" w:rsidRDefault="00575436" w:rsidP="00575436">
      <w:pPr>
        <w:ind w:right="-285"/>
        <w:rPr>
          <w:u w:val="single"/>
        </w:rPr>
      </w:pPr>
      <w:r w:rsidRPr="00575436">
        <w:rPr>
          <w:u w:val="single"/>
        </w:rPr>
        <w:t>Uzavírací vrstva</w:t>
      </w:r>
    </w:p>
    <w:p w:rsidR="00575436" w:rsidRDefault="00575436" w:rsidP="00575436">
      <w:pPr>
        <w:ind w:right="-285"/>
      </w:pPr>
      <w:r>
        <w:t xml:space="preserve">Dvousložková elastická polyuretanová stěrka, s nízkým obsahem emisí, otestována </w:t>
      </w:r>
      <w:proofErr w:type="spellStart"/>
      <w:r>
        <w:t>AgBB</w:t>
      </w:r>
      <w:proofErr w:type="spellEnd"/>
      <w:r>
        <w:t>,</w:t>
      </w:r>
      <w:r>
        <w:t xml:space="preserve"> </w:t>
      </w:r>
      <w:r>
        <w:t xml:space="preserve">schválena </w:t>
      </w:r>
      <w:proofErr w:type="spellStart"/>
      <w:r>
        <w:t>DIBt</w:t>
      </w:r>
      <w:proofErr w:type="spellEnd"/>
    </w:p>
    <w:p w:rsidR="00575436" w:rsidRPr="00575436" w:rsidRDefault="00575436" w:rsidP="00575436">
      <w:pPr>
        <w:ind w:right="-285"/>
        <w:rPr>
          <w:u w:val="single"/>
        </w:rPr>
      </w:pPr>
      <w:r w:rsidRPr="00575436">
        <w:rPr>
          <w:u w:val="single"/>
        </w:rPr>
        <w:t>Nosná + elastická vrstva</w:t>
      </w:r>
    </w:p>
    <w:p w:rsidR="00575436" w:rsidRDefault="00575436" w:rsidP="00575436">
      <w:pPr>
        <w:ind w:right="-285"/>
      </w:pPr>
      <w:r>
        <w:t xml:space="preserve">Barevný, elastický dvousložkový polyuretanový systém pro mezivrstvu </w:t>
      </w:r>
      <w:proofErr w:type="spellStart"/>
      <w:r>
        <w:t>překlenující</w:t>
      </w:r>
      <w:proofErr w:type="spellEnd"/>
      <w:r>
        <w:t xml:space="preserve"> trhliny</w:t>
      </w:r>
    </w:p>
    <w:p w:rsidR="00575436" w:rsidRPr="00575436" w:rsidRDefault="00575436" w:rsidP="00575436">
      <w:pPr>
        <w:ind w:right="-285"/>
        <w:rPr>
          <w:u w:val="single"/>
        </w:rPr>
      </w:pPr>
      <w:r w:rsidRPr="00575436">
        <w:rPr>
          <w:u w:val="single"/>
        </w:rPr>
        <w:t>Uzávěr pórů</w:t>
      </w:r>
    </w:p>
    <w:p w:rsidR="00575436" w:rsidRDefault="00575436" w:rsidP="00575436">
      <w:pPr>
        <w:ind w:right="-285"/>
      </w:pPr>
      <w:r>
        <w:t>Dvousložková epoxidová pryskyřice, rychle tuhnoucí, odolná vůči vlhkosti, vhodná jako speciální</w:t>
      </w:r>
      <w:r>
        <w:t xml:space="preserve"> </w:t>
      </w:r>
      <w:r>
        <w:t>základní vrstva</w:t>
      </w:r>
    </w:p>
    <w:p w:rsidR="00FF1DC1" w:rsidRPr="00FF1DC1" w:rsidRDefault="00FF1DC1" w:rsidP="00FF1DC1">
      <w:pPr>
        <w:ind w:right="-285"/>
        <w:rPr>
          <w:u w:val="single"/>
        </w:rPr>
      </w:pPr>
      <w:r w:rsidRPr="00FF1DC1">
        <w:rPr>
          <w:u w:val="single"/>
        </w:rPr>
        <w:t>Armovací tkanina</w:t>
      </w:r>
    </w:p>
    <w:p w:rsidR="00575436" w:rsidRDefault="00FF1DC1" w:rsidP="00FF1DC1">
      <w:pPr>
        <w:ind w:right="-285"/>
      </w:pPr>
      <w:r>
        <w:t>A</w:t>
      </w:r>
      <w:r>
        <w:t>rmovací tkanina ze skleněného vlákna pro zesílení podlah z</w:t>
      </w:r>
      <w:r>
        <w:t> </w:t>
      </w:r>
      <w:r>
        <w:t>reakčních</w:t>
      </w:r>
      <w:r>
        <w:t xml:space="preserve"> </w:t>
      </w:r>
      <w:r>
        <w:t>pryskyřic, gramáž 75g/m2 (např. VA1040)</w:t>
      </w:r>
      <w:r>
        <w:t>.</w:t>
      </w:r>
    </w:p>
    <w:p w:rsidR="00FF1DC1" w:rsidRPr="00FF1DC1" w:rsidRDefault="00FF1DC1" w:rsidP="00FF1DC1">
      <w:pPr>
        <w:ind w:right="-285"/>
        <w:rPr>
          <w:u w:val="single"/>
        </w:rPr>
      </w:pPr>
      <w:r w:rsidRPr="00FF1DC1">
        <w:rPr>
          <w:u w:val="single"/>
        </w:rPr>
        <w:t>Penetrace</w:t>
      </w:r>
    </w:p>
    <w:p w:rsidR="00FF1DC1" w:rsidRDefault="00FF1DC1" w:rsidP="00FF1DC1">
      <w:pPr>
        <w:ind w:right="-285"/>
      </w:pPr>
      <w:r>
        <w:t>Dvousložková epoxidová pryskyřice, rychle tuhnoucí, odolná vůči vlhkosti, vhodná jako speciální</w:t>
      </w:r>
      <w:r>
        <w:t xml:space="preserve"> </w:t>
      </w:r>
      <w:r>
        <w:t>základní vrstva</w:t>
      </w:r>
      <w:r>
        <w:t>.</w:t>
      </w:r>
    </w:p>
    <w:p w:rsidR="00FF1DC1" w:rsidRDefault="00FF1DC1" w:rsidP="00FF1DC1">
      <w:pPr>
        <w:spacing w:before="240"/>
        <w:ind w:right="-285"/>
      </w:pPr>
      <w:r>
        <w:t>Sokl – systémový montovaný profil fabionu kotvený pomocí montážního lepidla k podlaze.</w:t>
      </w:r>
      <w:r>
        <w:t xml:space="preserve"> </w:t>
      </w:r>
      <w:r>
        <w:t>Systémová skladba podlahy bude přetažena přes tento profil. Horní hrana fabionu bude</w:t>
      </w:r>
      <w:r>
        <w:t xml:space="preserve"> </w:t>
      </w:r>
      <w:r>
        <w:t>zatmelena polyuretanovým tmelem. Výška fabionu 60mm.</w:t>
      </w:r>
    </w:p>
    <w:p w:rsidR="00FF1DC1" w:rsidRDefault="00FF1DC1" w:rsidP="00FF1DC1">
      <w:pPr>
        <w:ind w:right="-285"/>
      </w:pPr>
      <w:r>
        <w:t>Sokl u sloupu – akrylátový nátěr v. 60mm, kout ve styku mezi sloupem a podlahou bude zatmelen</w:t>
      </w:r>
      <w:r>
        <w:t xml:space="preserve"> </w:t>
      </w:r>
      <w:r>
        <w:t>tmelem pod úhlem 45°</w:t>
      </w:r>
    </w:p>
    <w:sectPr w:rsidR="00FF1DC1" w:rsidSect="00947AD8">
      <w:headerReference w:type="default" r:id="rId8"/>
      <w:footerReference w:type="default" r:id="rId9"/>
      <w:pgSz w:w="11906" w:h="16838"/>
      <w:pgMar w:top="2268" w:right="1134" w:bottom="1418" w:left="1418" w:header="1021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9EE" w:rsidRDefault="008A59EE" w:rsidP="001E251B">
      <w:r>
        <w: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endnote>
  <w:endnote w:type="continuationSeparator" w:id="0">
    <w:p w:rsidR="008A59EE" w:rsidRDefault="008A59EE" w:rsidP="001E251B">
      <w:r>
        <w:continuation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9EE" w:rsidRPr="00575D63" w:rsidRDefault="008A59EE" w:rsidP="001E251B"/>
  <w:p w:rsidR="008A59EE" w:rsidRDefault="008A59EE" w:rsidP="001E251B">
    <w:pPr>
      <w:pStyle w:val="Zpat"/>
    </w:pPr>
  </w:p>
  <w:p w:rsidR="008A59EE" w:rsidRDefault="008A59EE" w:rsidP="001E25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9EE" w:rsidRDefault="008A59EE" w:rsidP="001E251B">
      <w:r>
        <w: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footnote>
  <w:footnote w:type="continuationSeparator" w:id="0">
    <w:p w:rsidR="008A59EE" w:rsidRDefault="008A59EE" w:rsidP="001E251B">
      <w:r>
        <w:continuation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819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5283"/>
      <w:gridCol w:w="2479"/>
      <w:gridCol w:w="2057"/>
    </w:tblGrid>
    <w:tr w:rsidR="00D8099F" w:rsidTr="00D01B31">
      <w:trPr>
        <w:trHeight w:val="510"/>
      </w:trPr>
      <w:tc>
        <w:tcPr>
          <w:tcW w:w="5283" w:type="dxa"/>
          <w:shd w:val="clear" w:color="auto" w:fill="333F49"/>
          <w:vAlign w:val="center"/>
        </w:tcPr>
        <w:p w:rsidR="00D8099F" w:rsidRPr="007E2FA1" w:rsidRDefault="00D8099F" w:rsidP="00D8099F">
          <w:pPr>
            <w:pStyle w:val="Nadpis1"/>
            <w:tabs>
              <w:tab w:val="clear" w:pos="9072"/>
              <w:tab w:val="right" w:pos="5033"/>
            </w:tabs>
            <w:spacing w:before="120"/>
            <w:jc w:val="both"/>
          </w:pPr>
          <w:r w:rsidRPr="00D4168A">
            <w:rPr>
              <w:sz w:val="32"/>
            </w:rPr>
            <w:t>RECETOX – ÚPRAVA CENTRA</w:t>
          </w:r>
        </w:p>
      </w:tc>
      <w:tc>
        <w:tcPr>
          <w:tcW w:w="4536" w:type="dxa"/>
          <w:gridSpan w:val="2"/>
          <w:shd w:val="clear" w:color="auto" w:fill="333F49"/>
          <w:vAlign w:val="center"/>
        </w:tcPr>
        <w:p w:rsidR="00D8099F" w:rsidRPr="0086578C" w:rsidRDefault="00D8099F" w:rsidP="00D8099F">
          <w:pPr>
            <w:pStyle w:val="Nadpis1"/>
            <w:spacing w:before="120"/>
            <w:ind w:left="-108"/>
            <w:jc w:val="right"/>
            <w:rPr>
              <w:sz w:val="32"/>
            </w:rPr>
          </w:pPr>
          <w:r>
            <w:rPr>
              <w:sz w:val="32"/>
            </w:rPr>
            <w:t xml:space="preserve">     </w:t>
          </w:r>
          <w:r w:rsidRPr="001E251B">
            <w:rPr>
              <w:sz w:val="32"/>
            </w:rPr>
            <w:t xml:space="preserve">TECHNICKÉ </w:t>
          </w:r>
          <w:r>
            <w:rPr>
              <w:sz w:val="32"/>
            </w:rPr>
            <w:t>P</w:t>
          </w:r>
          <w:r w:rsidRPr="001E251B">
            <w:rPr>
              <w:sz w:val="32"/>
            </w:rPr>
            <w:t>ODMÍNKY</w:t>
          </w:r>
        </w:p>
      </w:tc>
    </w:tr>
    <w:tr w:rsidR="00D8099F" w:rsidTr="00D01B31">
      <w:trPr>
        <w:trHeight w:val="57"/>
      </w:trPr>
      <w:tc>
        <w:tcPr>
          <w:tcW w:w="9819" w:type="dxa"/>
          <w:gridSpan w:val="3"/>
          <w:shd w:val="clear" w:color="auto" w:fill="A5ACAF"/>
          <w:vAlign w:val="center"/>
        </w:tcPr>
        <w:p w:rsidR="00D8099F" w:rsidRPr="001E251B" w:rsidRDefault="00D8099F" w:rsidP="00D8099F">
          <w:pPr>
            <w:pStyle w:val="Zhlav"/>
            <w:rPr>
              <w:sz w:val="2"/>
            </w:rPr>
          </w:pPr>
        </w:p>
      </w:tc>
    </w:tr>
    <w:tr w:rsidR="00D8099F" w:rsidTr="00D01B31">
      <w:trPr>
        <w:trHeight w:val="567"/>
      </w:trPr>
      <w:tc>
        <w:tcPr>
          <w:tcW w:w="7762" w:type="dxa"/>
          <w:gridSpan w:val="2"/>
          <w:shd w:val="clear" w:color="auto" w:fill="auto"/>
          <w:vAlign w:val="center"/>
        </w:tcPr>
        <w:p w:rsidR="00D8099F" w:rsidRDefault="00D8099F" w:rsidP="00D8099F">
          <w:pPr>
            <w:pStyle w:val="Nadpis2"/>
            <w:tabs>
              <w:tab w:val="left" w:pos="639"/>
            </w:tabs>
            <w:spacing w:before="0" w:after="0"/>
            <w:rPr>
              <w:sz w:val="24"/>
            </w:rPr>
          </w:pPr>
          <w:r>
            <w:rPr>
              <w:sz w:val="24"/>
            </w:rPr>
            <w:t xml:space="preserve">01 </w:t>
          </w:r>
          <w:r>
            <w:rPr>
              <w:sz w:val="24"/>
            </w:rPr>
            <w:tab/>
            <w:t>ARCHITEKTONICKO STAVEBNÍ ŘEŠENÍ</w:t>
          </w:r>
        </w:p>
        <w:p w:rsidR="00D8099F" w:rsidRPr="004E0959" w:rsidRDefault="00D8099F" w:rsidP="00D8099F">
          <w:pPr>
            <w:tabs>
              <w:tab w:val="left" w:pos="639"/>
            </w:tabs>
          </w:pPr>
          <w:r>
            <w:rPr>
              <w:sz w:val="24"/>
            </w:rPr>
            <w:tab/>
            <w:t>SKLADBY PODLAH</w:t>
          </w:r>
        </w:p>
      </w:tc>
      <w:tc>
        <w:tcPr>
          <w:tcW w:w="2057" w:type="dxa"/>
          <w:shd w:val="clear" w:color="auto" w:fill="auto"/>
          <w:vAlign w:val="center"/>
        </w:tcPr>
        <w:p w:rsidR="00D8099F" w:rsidRDefault="00D8099F" w:rsidP="00947AD8">
          <w:pPr>
            <w:pStyle w:val="Zhlav"/>
            <w:ind w:left="-177"/>
            <w:jc w:val="right"/>
            <w:rPr>
              <w:noProof/>
              <w:sz w:val="24"/>
            </w:rPr>
          </w:pPr>
          <w:r>
            <w:rPr>
              <w:sz w:val="24"/>
            </w:rPr>
            <w:t xml:space="preserve">   </w:t>
          </w:r>
          <w:r w:rsidR="00C35BEC">
            <w:rPr>
              <w:sz w:val="24"/>
            </w:rPr>
            <w:t>STRANA</w:t>
          </w:r>
          <w:r w:rsidR="00947AD8">
            <w:rPr>
              <w:sz w:val="24"/>
            </w:rPr>
            <w:t xml:space="preserve"> </w:t>
          </w:r>
          <w:r w:rsidR="00947AD8">
            <w:rPr>
              <w:sz w:val="24"/>
            </w:rPr>
            <w:fldChar w:fldCharType="begin"/>
          </w:r>
          <w:r w:rsidR="00947AD8">
            <w:rPr>
              <w:sz w:val="24"/>
            </w:rPr>
            <w:instrText xml:space="preserve"> PAGE   \* MERGEFORMAT </w:instrText>
          </w:r>
          <w:r w:rsidR="00947AD8">
            <w:rPr>
              <w:sz w:val="24"/>
            </w:rPr>
            <w:fldChar w:fldCharType="separate"/>
          </w:r>
          <w:r w:rsidR="00174A72">
            <w:rPr>
              <w:noProof/>
              <w:sz w:val="24"/>
            </w:rPr>
            <w:t>4</w:t>
          </w:r>
          <w:r w:rsidR="00947AD8">
            <w:rPr>
              <w:sz w:val="24"/>
            </w:rPr>
            <w:fldChar w:fldCharType="end"/>
          </w:r>
          <w:r w:rsidRPr="001E251B">
            <w:rPr>
              <w:sz w:val="24"/>
            </w:rPr>
            <w:t>/</w:t>
          </w:r>
          <w:r w:rsidR="00C35BEC">
            <w:rPr>
              <w:sz w:val="24"/>
            </w:rPr>
            <w:fldChar w:fldCharType="begin"/>
          </w:r>
          <w:r w:rsidR="00C35BEC">
            <w:rPr>
              <w:sz w:val="24"/>
            </w:rPr>
            <w:instrText xml:space="preserve"> NUMPAGES   \* MERGEFORMAT </w:instrText>
          </w:r>
          <w:r w:rsidR="00C35BEC">
            <w:rPr>
              <w:sz w:val="24"/>
            </w:rPr>
            <w:fldChar w:fldCharType="separate"/>
          </w:r>
          <w:r w:rsidR="00174A72">
            <w:rPr>
              <w:noProof/>
              <w:sz w:val="24"/>
            </w:rPr>
            <w:t>4</w:t>
          </w:r>
          <w:r w:rsidR="00C35BEC">
            <w:rPr>
              <w:sz w:val="24"/>
            </w:rPr>
            <w:fldChar w:fldCharType="end"/>
          </w:r>
        </w:p>
        <w:p w:rsidR="00D8099F" w:rsidRPr="001E251B" w:rsidRDefault="00D8099F" w:rsidP="00D8099F">
          <w:pPr>
            <w:pStyle w:val="Zhlav"/>
            <w:rPr>
              <w:b/>
              <w:sz w:val="24"/>
            </w:rPr>
          </w:pPr>
        </w:p>
      </w:tc>
    </w:tr>
  </w:tbl>
  <w:p w:rsidR="008A59EE" w:rsidRDefault="008A59EE" w:rsidP="00D809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39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434"/>
        </w:tabs>
        <w:ind w:left="43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471"/>
        </w:tabs>
        <w:ind w:left="4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508"/>
        </w:tabs>
        <w:ind w:left="50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582"/>
        </w:tabs>
        <w:ind w:left="58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619"/>
        </w:tabs>
        <w:ind w:left="61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56"/>
        </w:tabs>
        <w:ind w:left="656" w:hanging="360"/>
      </w:pPr>
      <w:rPr>
        <w:rFonts w:ascii="Symbol" w:hAnsi="Symbol"/>
      </w:rPr>
    </w:lvl>
  </w:abstractNum>
  <w:abstractNum w:abstractNumId="2" w15:restartNumberingAfterBreak="0">
    <w:nsid w:val="0AF50DE3"/>
    <w:multiLevelType w:val="hybridMultilevel"/>
    <w:tmpl w:val="3B2EDFFC"/>
    <w:lvl w:ilvl="0" w:tplc="AEE06EC6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BC83AC8"/>
    <w:multiLevelType w:val="hybridMultilevel"/>
    <w:tmpl w:val="B9BC1584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114595E"/>
    <w:multiLevelType w:val="hybridMultilevel"/>
    <w:tmpl w:val="590C9F8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65470"/>
    <w:multiLevelType w:val="hybridMultilevel"/>
    <w:tmpl w:val="1390C436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813C0"/>
    <w:multiLevelType w:val="multilevel"/>
    <w:tmpl w:val="9EAE0F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23B33EFA"/>
    <w:multiLevelType w:val="hybridMultilevel"/>
    <w:tmpl w:val="5046283A"/>
    <w:lvl w:ilvl="0" w:tplc="E60E5250">
      <w:start w:val="1"/>
      <w:numFmt w:val="bullet"/>
      <w:lvlText w:val="-"/>
      <w:lvlJc w:val="left"/>
      <w:pPr>
        <w:ind w:left="1065" w:hanging="705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276E7"/>
    <w:multiLevelType w:val="hybridMultilevel"/>
    <w:tmpl w:val="B8784BBE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402F09D5"/>
    <w:multiLevelType w:val="hybridMultilevel"/>
    <w:tmpl w:val="B840DED2"/>
    <w:lvl w:ilvl="0" w:tplc="27A2E59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E47F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F2B74B7"/>
    <w:multiLevelType w:val="hybridMultilevel"/>
    <w:tmpl w:val="B3904D6E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12330"/>
    <w:multiLevelType w:val="hybridMultilevel"/>
    <w:tmpl w:val="DB1C7070"/>
    <w:lvl w:ilvl="0" w:tplc="939A1C8E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55DD4CCA"/>
    <w:multiLevelType w:val="hybridMultilevel"/>
    <w:tmpl w:val="F77E645A"/>
    <w:lvl w:ilvl="0" w:tplc="473A13F4">
      <w:start w:val="3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A6060D2"/>
    <w:multiLevelType w:val="hybridMultilevel"/>
    <w:tmpl w:val="EE44366C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5BE65590"/>
    <w:multiLevelType w:val="hybridMultilevel"/>
    <w:tmpl w:val="89FCF5DA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6A964058"/>
    <w:multiLevelType w:val="hybridMultilevel"/>
    <w:tmpl w:val="73DC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218D1"/>
    <w:multiLevelType w:val="hybridMultilevel"/>
    <w:tmpl w:val="E078E168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6574449"/>
    <w:multiLevelType w:val="hybridMultilevel"/>
    <w:tmpl w:val="3D20813E"/>
    <w:lvl w:ilvl="0" w:tplc="502860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8067C"/>
    <w:multiLevelType w:val="hybridMultilevel"/>
    <w:tmpl w:val="D924BB80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4C1"/>
    <w:multiLevelType w:val="hybridMultilevel"/>
    <w:tmpl w:val="C94C01B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0"/>
  </w:num>
  <w:num w:numId="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1"/>
  </w:num>
  <w:num w:numId="8">
    <w:abstractNumId w:val="3"/>
  </w:num>
  <w:num w:numId="9">
    <w:abstractNumId w:val="15"/>
  </w:num>
  <w:num w:numId="10">
    <w:abstractNumId w:val="14"/>
  </w:num>
  <w:num w:numId="11">
    <w:abstractNumId w:val="17"/>
  </w:num>
  <w:num w:numId="12">
    <w:abstractNumId w:val="8"/>
  </w:num>
  <w:num w:numId="13">
    <w:abstractNumId w:val="13"/>
  </w:num>
  <w:num w:numId="14">
    <w:abstractNumId w:val="2"/>
  </w:num>
  <w:num w:numId="15">
    <w:abstractNumId w:val="16"/>
  </w:num>
  <w:num w:numId="16">
    <w:abstractNumId w:val="7"/>
  </w:num>
  <w:num w:numId="17">
    <w:abstractNumId w:val="4"/>
  </w:num>
  <w:num w:numId="18">
    <w:abstractNumId w:val="19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57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ED"/>
    <w:rsid w:val="000065D7"/>
    <w:rsid w:val="00021EDB"/>
    <w:rsid w:val="00037180"/>
    <w:rsid w:val="00055082"/>
    <w:rsid w:val="00055B1F"/>
    <w:rsid w:val="000743F4"/>
    <w:rsid w:val="00092243"/>
    <w:rsid w:val="00092BE8"/>
    <w:rsid w:val="000A54CC"/>
    <w:rsid w:val="00104640"/>
    <w:rsid w:val="00131353"/>
    <w:rsid w:val="00136349"/>
    <w:rsid w:val="00143D62"/>
    <w:rsid w:val="001522BE"/>
    <w:rsid w:val="00152486"/>
    <w:rsid w:val="00152D7E"/>
    <w:rsid w:val="001575DE"/>
    <w:rsid w:val="001579BD"/>
    <w:rsid w:val="0017079B"/>
    <w:rsid w:val="00174A72"/>
    <w:rsid w:val="001822A7"/>
    <w:rsid w:val="001A077A"/>
    <w:rsid w:val="001D2860"/>
    <w:rsid w:val="001D3A6B"/>
    <w:rsid w:val="001E19E5"/>
    <w:rsid w:val="001E251B"/>
    <w:rsid w:val="00202DD8"/>
    <w:rsid w:val="0025009E"/>
    <w:rsid w:val="00262346"/>
    <w:rsid w:val="00274A32"/>
    <w:rsid w:val="00275D53"/>
    <w:rsid w:val="002B0982"/>
    <w:rsid w:val="002B635C"/>
    <w:rsid w:val="002B759A"/>
    <w:rsid w:val="002D3172"/>
    <w:rsid w:val="002E062E"/>
    <w:rsid w:val="002F3A24"/>
    <w:rsid w:val="003023FC"/>
    <w:rsid w:val="00305092"/>
    <w:rsid w:val="00313C31"/>
    <w:rsid w:val="00314201"/>
    <w:rsid w:val="0035659B"/>
    <w:rsid w:val="00365F73"/>
    <w:rsid w:val="003726B2"/>
    <w:rsid w:val="00390396"/>
    <w:rsid w:val="0039574F"/>
    <w:rsid w:val="003B196B"/>
    <w:rsid w:val="003B1CF2"/>
    <w:rsid w:val="003C7DEE"/>
    <w:rsid w:val="003D664D"/>
    <w:rsid w:val="0048700D"/>
    <w:rsid w:val="004E0959"/>
    <w:rsid w:val="004F5C95"/>
    <w:rsid w:val="004F6321"/>
    <w:rsid w:val="005152FF"/>
    <w:rsid w:val="005164D9"/>
    <w:rsid w:val="00544A9A"/>
    <w:rsid w:val="0054694C"/>
    <w:rsid w:val="0055406D"/>
    <w:rsid w:val="00555627"/>
    <w:rsid w:val="00561292"/>
    <w:rsid w:val="0057290C"/>
    <w:rsid w:val="0057365F"/>
    <w:rsid w:val="00575436"/>
    <w:rsid w:val="00575D63"/>
    <w:rsid w:val="00580B3C"/>
    <w:rsid w:val="00582310"/>
    <w:rsid w:val="00592010"/>
    <w:rsid w:val="005E3BA7"/>
    <w:rsid w:val="005F1965"/>
    <w:rsid w:val="005F71C7"/>
    <w:rsid w:val="006201F9"/>
    <w:rsid w:val="006316B8"/>
    <w:rsid w:val="00660F4F"/>
    <w:rsid w:val="00671C4E"/>
    <w:rsid w:val="00677837"/>
    <w:rsid w:val="007021ED"/>
    <w:rsid w:val="007103FB"/>
    <w:rsid w:val="00731A94"/>
    <w:rsid w:val="00743D84"/>
    <w:rsid w:val="007446F7"/>
    <w:rsid w:val="00750BEE"/>
    <w:rsid w:val="00750DCB"/>
    <w:rsid w:val="007517E7"/>
    <w:rsid w:val="00757913"/>
    <w:rsid w:val="00760FD4"/>
    <w:rsid w:val="0077047A"/>
    <w:rsid w:val="00770DE8"/>
    <w:rsid w:val="00781115"/>
    <w:rsid w:val="0078127C"/>
    <w:rsid w:val="007A5280"/>
    <w:rsid w:val="007C2F15"/>
    <w:rsid w:val="007E2FA1"/>
    <w:rsid w:val="007E48A0"/>
    <w:rsid w:val="007F1F71"/>
    <w:rsid w:val="007F2ADB"/>
    <w:rsid w:val="007F4779"/>
    <w:rsid w:val="0082412B"/>
    <w:rsid w:val="00831E17"/>
    <w:rsid w:val="00846C08"/>
    <w:rsid w:val="00864338"/>
    <w:rsid w:val="0086578C"/>
    <w:rsid w:val="00872302"/>
    <w:rsid w:val="00896832"/>
    <w:rsid w:val="008A59EE"/>
    <w:rsid w:val="008B1A1B"/>
    <w:rsid w:val="008B6FB8"/>
    <w:rsid w:val="008F4A70"/>
    <w:rsid w:val="00932226"/>
    <w:rsid w:val="00942847"/>
    <w:rsid w:val="00947AD8"/>
    <w:rsid w:val="009519F5"/>
    <w:rsid w:val="00996C67"/>
    <w:rsid w:val="009A52DE"/>
    <w:rsid w:val="009A5EAD"/>
    <w:rsid w:val="009F66BE"/>
    <w:rsid w:val="00A1725E"/>
    <w:rsid w:val="00A20BBC"/>
    <w:rsid w:val="00A353F8"/>
    <w:rsid w:val="00AA298D"/>
    <w:rsid w:val="00AB073C"/>
    <w:rsid w:val="00AB23DC"/>
    <w:rsid w:val="00AB38E1"/>
    <w:rsid w:val="00AD1F6E"/>
    <w:rsid w:val="00AE0E26"/>
    <w:rsid w:val="00B064ED"/>
    <w:rsid w:val="00B333A1"/>
    <w:rsid w:val="00B33932"/>
    <w:rsid w:val="00B40D64"/>
    <w:rsid w:val="00B5207A"/>
    <w:rsid w:val="00B6168A"/>
    <w:rsid w:val="00B97A26"/>
    <w:rsid w:val="00BC6FC5"/>
    <w:rsid w:val="00BE0F32"/>
    <w:rsid w:val="00BE651B"/>
    <w:rsid w:val="00BE7312"/>
    <w:rsid w:val="00BF4EC8"/>
    <w:rsid w:val="00C133E4"/>
    <w:rsid w:val="00C21A75"/>
    <w:rsid w:val="00C33092"/>
    <w:rsid w:val="00C35BEC"/>
    <w:rsid w:val="00C6031C"/>
    <w:rsid w:val="00C756FA"/>
    <w:rsid w:val="00C830F1"/>
    <w:rsid w:val="00C91BF5"/>
    <w:rsid w:val="00CA64D3"/>
    <w:rsid w:val="00CB030C"/>
    <w:rsid w:val="00CF506A"/>
    <w:rsid w:val="00CF6918"/>
    <w:rsid w:val="00D21934"/>
    <w:rsid w:val="00D22BE3"/>
    <w:rsid w:val="00D24991"/>
    <w:rsid w:val="00D348FF"/>
    <w:rsid w:val="00D53B89"/>
    <w:rsid w:val="00D55A47"/>
    <w:rsid w:val="00D62D79"/>
    <w:rsid w:val="00D8099F"/>
    <w:rsid w:val="00D85F42"/>
    <w:rsid w:val="00D8744B"/>
    <w:rsid w:val="00DA4E3E"/>
    <w:rsid w:val="00DB7637"/>
    <w:rsid w:val="00DB7D75"/>
    <w:rsid w:val="00DD1C88"/>
    <w:rsid w:val="00DD5368"/>
    <w:rsid w:val="00DE2A5F"/>
    <w:rsid w:val="00DF0149"/>
    <w:rsid w:val="00E0511C"/>
    <w:rsid w:val="00E0751E"/>
    <w:rsid w:val="00E2009F"/>
    <w:rsid w:val="00E2315D"/>
    <w:rsid w:val="00E23BB3"/>
    <w:rsid w:val="00E27ADE"/>
    <w:rsid w:val="00E30559"/>
    <w:rsid w:val="00E7525A"/>
    <w:rsid w:val="00E85E85"/>
    <w:rsid w:val="00EA0DDA"/>
    <w:rsid w:val="00ED1045"/>
    <w:rsid w:val="00ED60C1"/>
    <w:rsid w:val="00EE1B26"/>
    <w:rsid w:val="00F003E8"/>
    <w:rsid w:val="00F2184E"/>
    <w:rsid w:val="00F254CB"/>
    <w:rsid w:val="00F26490"/>
    <w:rsid w:val="00F37F16"/>
    <w:rsid w:val="00F53A0F"/>
    <w:rsid w:val="00F91A6A"/>
    <w:rsid w:val="00FB151B"/>
    <w:rsid w:val="00FB6627"/>
    <w:rsid w:val="00FD3900"/>
    <w:rsid w:val="00FD560F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713">
      <o:colormenu v:ext="edit" fillcolor="none"/>
    </o:shapedefaults>
    <o:shapelayout v:ext="edit">
      <o:idmap v:ext="edit" data="1"/>
    </o:shapelayout>
  </w:shapeDefaults>
  <w:decimalSymbol w:val=","/>
  <w:listSeparator w:val=";"/>
  <w15:docId w15:val="{03589754-7AC9-4238-802A-8A9021D9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paragraph" w:styleId="Nadpis5">
    <w:name w:val="heading 5"/>
    <w:basedOn w:val="Normln"/>
    <w:next w:val="Normln"/>
    <w:link w:val="Nadpis5Char"/>
    <w:unhideWhenUsed/>
    <w:qFormat/>
    <w:rsid w:val="005164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064ED"/>
  </w:style>
  <w:style w:type="paragraph" w:styleId="Zpat">
    <w:name w:val="footer"/>
    <w:basedOn w:val="Normln"/>
    <w:link w:val="ZpatChar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basedOn w:val="Normln"/>
    <w:uiPriority w:val="34"/>
    <w:qFormat/>
    <w:rsid w:val="00B064ED"/>
    <w:pPr>
      <w:ind w:firstLine="709"/>
    </w:p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5164D9"/>
    <w:rPr>
      <w:rFonts w:asciiTheme="majorHAnsi" w:eastAsiaTheme="majorEastAsia" w:hAnsiTheme="majorHAnsi" w:cstheme="majorBidi"/>
      <w:color w:val="365F91" w:themeColor="accent1" w:themeShade="BF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5164D9"/>
    <w:pPr>
      <w:ind w:left="283"/>
    </w:pPr>
    <w:rPr>
      <w:rFonts w:ascii="Avant Garde CE Book" w:hAnsi="Avant Garde CE Book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164D9"/>
    <w:rPr>
      <w:rFonts w:ascii="Avant Garde CE Book" w:hAnsi="Avant Garde CE Book" w:cs="Arial"/>
      <w:szCs w:val="22"/>
    </w:rPr>
  </w:style>
  <w:style w:type="paragraph" w:styleId="Normlnweb">
    <w:name w:val="Normal (Web)"/>
    <w:basedOn w:val="Normln"/>
    <w:uiPriority w:val="99"/>
    <w:semiHidden/>
    <w:unhideWhenUsed/>
    <w:rsid w:val="00DA4E3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DA4E3E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A4E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88BD7-EDDC-409E-82EF-39ED30A1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1069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Babanek</dc:creator>
  <cp:keywords/>
  <dc:description/>
  <cp:lastModifiedBy>Jiri Babanek</cp:lastModifiedBy>
  <cp:revision>3</cp:revision>
  <cp:lastPrinted>2022-06-29T06:57:00Z</cp:lastPrinted>
  <dcterms:created xsi:type="dcterms:W3CDTF">2022-06-29T06:57:00Z</dcterms:created>
  <dcterms:modified xsi:type="dcterms:W3CDTF">2022-06-29T06:57:00Z</dcterms:modified>
</cp:coreProperties>
</file>